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D2EBC" w14:textId="72BECE13" w:rsidR="006063D3" w:rsidRDefault="006063D3" w:rsidP="006063D3">
      <w:pPr>
        <w:pStyle w:val="BodyTextIndent"/>
        <w:ind w:left="0"/>
        <w:jc w:val="left"/>
        <w:rPr>
          <w:sz w:val="24"/>
          <w:szCs w:val="24"/>
        </w:rPr>
      </w:pPr>
    </w:p>
    <w:p w14:paraId="1CF49628" w14:textId="77777777" w:rsidR="008F7407" w:rsidRDefault="008F7407" w:rsidP="006063D3">
      <w:pPr>
        <w:pStyle w:val="BodyTextIndent"/>
        <w:ind w:left="0"/>
        <w:jc w:val="left"/>
        <w:rPr>
          <w:sz w:val="24"/>
          <w:szCs w:val="24"/>
        </w:rPr>
      </w:pPr>
    </w:p>
    <w:p w14:paraId="3AC845F4" w14:textId="6EBB8FA2" w:rsidR="00643E23" w:rsidRPr="00643E23" w:rsidRDefault="00643E23" w:rsidP="008F7407">
      <w:pPr>
        <w:pStyle w:val="BodyTextIndent"/>
        <w:spacing w:after="120"/>
        <w:ind w:left="0"/>
        <w:jc w:val="left"/>
        <w:rPr>
          <w:b/>
          <w:bCs/>
          <w:sz w:val="24"/>
          <w:szCs w:val="24"/>
        </w:rPr>
      </w:pPr>
      <w:r w:rsidRPr="00643E23">
        <w:rPr>
          <w:b/>
          <w:bCs/>
          <w:sz w:val="24"/>
          <w:szCs w:val="24"/>
        </w:rPr>
        <w:t xml:space="preserve">1. </w:t>
      </w:r>
      <w:r w:rsidR="008F7407">
        <w:rPr>
          <w:b/>
          <w:bCs/>
          <w:sz w:val="24"/>
          <w:szCs w:val="24"/>
        </w:rPr>
        <w:t xml:space="preserve">Sprowston Town Council </w:t>
      </w:r>
      <w:r w:rsidR="006063D3" w:rsidRPr="00643E23">
        <w:rPr>
          <w:b/>
          <w:bCs/>
          <w:sz w:val="24"/>
          <w:szCs w:val="24"/>
        </w:rPr>
        <w:t>SUPPPORT</w:t>
      </w:r>
      <w:r w:rsidR="008F7407">
        <w:rPr>
          <w:b/>
          <w:bCs/>
          <w:sz w:val="24"/>
          <w:szCs w:val="24"/>
        </w:rPr>
        <w:t>S</w:t>
      </w:r>
      <w:r w:rsidR="006063D3" w:rsidRPr="00643E23">
        <w:rPr>
          <w:b/>
          <w:bCs/>
          <w:sz w:val="24"/>
          <w:szCs w:val="24"/>
        </w:rPr>
        <w:t xml:space="preserve"> </w:t>
      </w:r>
      <w:r w:rsidRPr="00643E23">
        <w:rPr>
          <w:b/>
          <w:bCs/>
          <w:sz w:val="24"/>
          <w:szCs w:val="24"/>
        </w:rPr>
        <w:t xml:space="preserve">the GNLP assessment that this site should be classified as a PREFERRED RESIDENTIAL SITE </w:t>
      </w:r>
    </w:p>
    <w:p w14:paraId="58747DA9" w14:textId="77777777" w:rsidR="008F7407" w:rsidRDefault="008F7407" w:rsidP="008F7407">
      <w:pPr>
        <w:pStyle w:val="BodyTextIndent"/>
        <w:spacing w:after="120"/>
        <w:ind w:left="0"/>
        <w:jc w:val="left"/>
        <w:rPr>
          <w:b/>
          <w:bCs/>
          <w:sz w:val="24"/>
          <w:szCs w:val="24"/>
        </w:rPr>
      </w:pPr>
    </w:p>
    <w:p w14:paraId="57CAA51C" w14:textId="41EE1ACF" w:rsidR="006063D3" w:rsidRPr="00643E23" w:rsidRDefault="00643E23" w:rsidP="008F7407">
      <w:pPr>
        <w:pStyle w:val="BodyTextIndent"/>
        <w:spacing w:after="120"/>
        <w:ind w:left="0"/>
        <w:jc w:val="left"/>
        <w:rPr>
          <w:b/>
          <w:bCs/>
          <w:sz w:val="24"/>
          <w:szCs w:val="24"/>
        </w:rPr>
      </w:pPr>
      <w:r w:rsidRPr="00643E23">
        <w:rPr>
          <w:b/>
          <w:bCs/>
          <w:sz w:val="24"/>
          <w:szCs w:val="24"/>
        </w:rPr>
        <w:t xml:space="preserve">2. </w:t>
      </w:r>
      <w:r w:rsidR="008F7407">
        <w:rPr>
          <w:b/>
          <w:bCs/>
          <w:sz w:val="24"/>
          <w:szCs w:val="24"/>
        </w:rPr>
        <w:t xml:space="preserve">Sprowston Town Council </w:t>
      </w:r>
      <w:r>
        <w:rPr>
          <w:b/>
          <w:bCs/>
          <w:sz w:val="24"/>
          <w:szCs w:val="24"/>
        </w:rPr>
        <w:t>COMMENT</w:t>
      </w:r>
      <w:r w:rsidR="008F7407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 as</w:t>
      </w:r>
      <w:r w:rsidR="006063D3" w:rsidRPr="00643E23">
        <w:rPr>
          <w:b/>
          <w:bCs/>
          <w:sz w:val="24"/>
          <w:szCs w:val="24"/>
        </w:rPr>
        <w:t xml:space="preserve"> follow</w:t>
      </w:r>
      <w:r>
        <w:rPr>
          <w:b/>
          <w:bCs/>
          <w:sz w:val="24"/>
          <w:szCs w:val="24"/>
        </w:rPr>
        <w:t>s</w:t>
      </w:r>
      <w:r w:rsidR="006063D3" w:rsidRPr="00643E23">
        <w:rPr>
          <w:b/>
          <w:bCs/>
          <w:sz w:val="24"/>
          <w:szCs w:val="24"/>
        </w:rPr>
        <w:t>:</w:t>
      </w:r>
    </w:p>
    <w:p w14:paraId="7B91138D" w14:textId="77777777" w:rsidR="006063D3" w:rsidRDefault="006063D3" w:rsidP="006063D3">
      <w:pPr>
        <w:pStyle w:val="BodyTextIndent"/>
        <w:numPr>
          <w:ilvl w:val="0"/>
          <w:numId w:val="3"/>
        </w:numPr>
        <w:ind w:left="567" w:hanging="295"/>
        <w:jc w:val="left"/>
        <w:rPr>
          <w:sz w:val="24"/>
          <w:szCs w:val="24"/>
        </w:rPr>
      </w:pPr>
      <w:r>
        <w:rPr>
          <w:sz w:val="24"/>
          <w:szCs w:val="24"/>
        </w:rPr>
        <w:t>developments should include suitable access for public transport vehicles</w:t>
      </w:r>
    </w:p>
    <w:p w14:paraId="07A7FCF7" w14:textId="77777777" w:rsidR="006063D3" w:rsidRDefault="006063D3" w:rsidP="006063D3">
      <w:pPr>
        <w:pStyle w:val="BodyTextIndent"/>
        <w:numPr>
          <w:ilvl w:val="0"/>
          <w:numId w:val="3"/>
        </w:numPr>
        <w:ind w:left="567" w:hanging="295"/>
        <w:jc w:val="left"/>
        <w:rPr>
          <w:sz w:val="24"/>
          <w:szCs w:val="24"/>
        </w:rPr>
      </w:pPr>
      <w:r>
        <w:rPr>
          <w:sz w:val="24"/>
          <w:szCs w:val="24"/>
        </w:rPr>
        <w:t>all forms of public transport should be catered for</w:t>
      </w:r>
    </w:p>
    <w:p w14:paraId="52A04335" w14:textId="77777777" w:rsidR="006063D3" w:rsidRDefault="006063D3" w:rsidP="006063D3">
      <w:pPr>
        <w:pStyle w:val="BodyTextIndent"/>
        <w:numPr>
          <w:ilvl w:val="0"/>
          <w:numId w:val="3"/>
        </w:numPr>
        <w:ind w:left="567" w:hanging="295"/>
        <w:jc w:val="left"/>
        <w:rPr>
          <w:sz w:val="24"/>
          <w:szCs w:val="24"/>
        </w:rPr>
      </w:pPr>
      <w:r>
        <w:rPr>
          <w:sz w:val="24"/>
          <w:szCs w:val="24"/>
        </w:rPr>
        <w:t>Drs surgeries / health centres are already oversubscribed and further provision should be made for an increasing population. This development would be a good location given the access from Atlantic Avenue.</w:t>
      </w:r>
    </w:p>
    <w:p w14:paraId="693F19EC" w14:textId="77777777" w:rsidR="006063D3" w:rsidRDefault="006063D3" w:rsidP="006063D3">
      <w:pPr>
        <w:pStyle w:val="BodyTextIndent"/>
        <w:numPr>
          <w:ilvl w:val="0"/>
          <w:numId w:val="3"/>
        </w:numPr>
        <w:ind w:left="567" w:hanging="295"/>
        <w:jc w:val="left"/>
        <w:rPr>
          <w:sz w:val="24"/>
          <w:szCs w:val="24"/>
        </w:rPr>
      </w:pPr>
      <w:r>
        <w:rPr>
          <w:sz w:val="24"/>
          <w:szCs w:val="24"/>
        </w:rPr>
        <w:t>as the highest population growth is currently the over 60’s focus should be on delivering better public transport</w:t>
      </w:r>
    </w:p>
    <w:p w14:paraId="34D2727D" w14:textId="77777777" w:rsidR="006063D3" w:rsidRDefault="006063D3" w:rsidP="006063D3">
      <w:pPr>
        <w:pStyle w:val="BodyTextIndent"/>
        <w:numPr>
          <w:ilvl w:val="0"/>
          <w:numId w:val="3"/>
        </w:numPr>
        <w:ind w:left="567" w:hanging="295"/>
        <w:jc w:val="left"/>
        <w:rPr>
          <w:sz w:val="24"/>
          <w:szCs w:val="24"/>
        </w:rPr>
      </w:pPr>
      <w:r>
        <w:rPr>
          <w:sz w:val="24"/>
          <w:szCs w:val="24"/>
        </w:rPr>
        <w:t>there is no provision for civic buildings or other community activities</w:t>
      </w:r>
    </w:p>
    <w:p w14:paraId="087EF3A4" w14:textId="36E0B8C4" w:rsidR="006063D3" w:rsidRDefault="006063D3" w:rsidP="006063D3">
      <w:pPr>
        <w:pStyle w:val="BodyTextIndent"/>
        <w:numPr>
          <w:ilvl w:val="0"/>
          <w:numId w:val="3"/>
        </w:numPr>
        <w:ind w:left="567" w:hanging="295"/>
        <w:jc w:val="left"/>
        <w:rPr>
          <w:sz w:val="24"/>
          <w:szCs w:val="24"/>
        </w:rPr>
      </w:pPr>
      <w:r>
        <w:rPr>
          <w:sz w:val="24"/>
          <w:szCs w:val="24"/>
        </w:rPr>
        <w:t>sufficient space should be allowed on private driveways for the charging of electric vehicles. Infrastructure for electric vehicles charging should also be included in communal parking areas</w:t>
      </w:r>
    </w:p>
    <w:p w14:paraId="301B1913" w14:textId="77777777" w:rsidR="006063D3" w:rsidRDefault="006063D3" w:rsidP="006063D3">
      <w:pPr>
        <w:pStyle w:val="BodyTextIndent"/>
        <w:numPr>
          <w:ilvl w:val="0"/>
          <w:numId w:val="3"/>
        </w:numPr>
        <w:ind w:left="567" w:hanging="29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the Park and Ride should remain the preferred site for a new school  </w:t>
      </w:r>
    </w:p>
    <w:p w14:paraId="5BDA793F" w14:textId="77777777" w:rsidR="006063D3" w:rsidRDefault="006063D3" w:rsidP="006063D3">
      <w:pPr>
        <w:pStyle w:val="BodyTextIndent"/>
        <w:numPr>
          <w:ilvl w:val="0"/>
          <w:numId w:val="3"/>
        </w:numPr>
        <w:ind w:left="567" w:hanging="29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if the open space on </w:t>
      </w:r>
      <w:r w:rsidRPr="006063D3">
        <w:rPr>
          <w:sz w:val="24"/>
          <w:szCs w:val="24"/>
        </w:rPr>
        <w:t xml:space="preserve">GNLP0132 </w:t>
      </w:r>
      <w:r>
        <w:rPr>
          <w:sz w:val="24"/>
          <w:szCs w:val="24"/>
        </w:rPr>
        <w:t>is to be allocated for the siting of a new High School this should not in any way be permitted to reduce or compromise space available for civic/community buildings or formal and informal recreational facilities</w:t>
      </w:r>
    </w:p>
    <w:p w14:paraId="53C6512E" w14:textId="15DA8E0A" w:rsidR="008D3FBB" w:rsidRPr="0076473A" w:rsidRDefault="00A877B1" w:rsidP="001F746F">
      <w:pPr>
        <w:pStyle w:val="BodyTextIndent"/>
        <w:numPr>
          <w:ilvl w:val="0"/>
          <w:numId w:val="3"/>
        </w:numPr>
        <w:ind w:left="567"/>
        <w:jc w:val="left"/>
        <w:rPr>
          <w:sz w:val="24"/>
          <w:szCs w:val="24"/>
        </w:rPr>
      </w:pPr>
      <w:r w:rsidRPr="0076473A">
        <w:rPr>
          <w:sz w:val="24"/>
          <w:szCs w:val="24"/>
        </w:rPr>
        <w:t>Broadland District Council’s current planning policy on recreational provision as stated in “Recreational Provision in Residential Development – Supplementary Planning Document (SPD) April 2016” is not fit for purpose</w:t>
      </w:r>
      <w:r w:rsidR="008D3FBB" w:rsidRPr="0076473A">
        <w:rPr>
          <w:sz w:val="24"/>
          <w:szCs w:val="24"/>
        </w:rPr>
        <w:t xml:space="preserve"> in towns or parishes with multiple large developments below 1000 dwellings, as is the case in Sprowston</w:t>
      </w:r>
      <w:r w:rsidRPr="0076473A">
        <w:rPr>
          <w:sz w:val="24"/>
          <w:szCs w:val="24"/>
        </w:rPr>
        <w:t>.</w:t>
      </w:r>
      <w:r w:rsidR="0076473A" w:rsidRPr="0076473A">
        <w:rPr>
          <w:sz w:val="24"/>
          <w:szCs w:val="24"/>
        </w:rPr>
        <w:t xml:space="preserve"> </w:t>
      </w:r>
      <w:r w:rsidR="008D3FBB" w:rsidRPr="0076473A">
        <w:rPr>
          <w:sz w:val="24"/>
          <w:szCs w:val="24"/>
        </w:rPr>
        <w:t>Page 6, t</w:t>
      </w:r>
      <w:r w:rsidRPr="0076473A">
        <w:rPr>
          <w:sz w:val="24"/>
          <w:szCs w:val="24"/>
        </w:rPr>
        <w:t xml:space="preserve">able </w:t>
      </w:r>
      <w:r w:rsidR="008D3FBB" w:rsidRPr="0076473A">
        <w:rPr>
          <w:sz w:val="24"/>
          <w:szCs w:val="24"/>
        </w:rPr>
        <w:t>4 “Indicative thresholds for provision” states:</w:t>
      </w:r>
    </w:p>
    <w:p w14:paraId="1948914B" w14:textId="08DD5042" w:rsidR="00A877B1" w:rsidRDefault="008D3FBB" w:rsidP="008D3FBB">
      <w:pPr>
        <w:pStyle w:val="BodyTextIndent"/>
        <w:numPr>
          <w:ilvl w:val="0"/>
          <w:numId w:val="8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150-399 dwellings, provision for formal recreation: “Children’s play space on site, remainder on/off site” </w:t>
      </w:r>
      <w:r w:rsidR="00A877B1">
        <w:rPr>
          <w:sz w:val="24"/>
          <w:szCs w:val="24"/>
        </w:rPr>
        <w:t xml:space="preserve"> </w:t>
      </w:r>
    </w:p>
    <w:p w14:paraId="4737C0B0" w14:textId="3E7F8B57" w:rsidR="008D3FBB" w:rsidRDefault="008D3FBB" w:rsidP="008D3FBB">
      <w:pPr>
        <w:pStyle w:val="BodyTextIndent"/>
        <w:numPr>
          <w:ilvl w:val="0"/>
          <w:numId w:val="8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400-999 dwellings, provision for formal recreation: “Children’s play space on site, remainder on/off site”  </w:t>
      </w:r>
    </w:p>
    <w:p w14:paraId="0BECFC65" w14:textId="222B6294" w:rsidR="006063D3" w:rsidRDefault="008D3FBB" w:rsidP="008D3FBB">
      <w:pPr>
        <w:pStyle w:val="BodyTextIndent"/>
        <w:numPr>
          <w:ilvl w:val="0"/>
          <w:numId w:val="8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1000+ dwellings, provision for formal recreation: “On-site where characteristics allow” </w:t>
      </w:r>
    </w:p>
    <w:p w14:paraId="40BF878F" w14:textId="72D5CA68" w:rsidR="00A877B1" w:rsidRDefault="008D3FBB" w:rsidP="0076473A">
      <w:pPr>
        <w:pStyle w:val="BodyTextIndent"/>
        <w:numPr>
          <w:ilvl w:val="0"/>
          <w:numId w:val="9"/>
        </w:numPr>
        <w:ind w:left="567"/>
        <w:jc w:val="left"/>
        <w:rPr>
          <w:sz w:val="24"/>
          <w:szCs w:val="24"/>
        </w:rPr>
      </w:pPr>
      <w:r>
        <w:rPr>
          <w:sz w:val="24"/>
          <w:szCs w:val="24"/>
        </w:rPr>
        <w:t>Th</w:t>
      </w:r>
      <w:r w:rsidR="0076473A">
        <w:rPr>
          <w:sz w:val="24"/>
          <w:szCs w:val="24"/>
        </w:rPr>
        <w:t xml:space="preserve">is has led to the </w:t>
      </w:r>
      <w:r>
        <w:rPr>
          <w:sz w:val="24"/>
          <w:szCs w:val="24"/>
        </w:rPr>
        <w:t xml:space="preserve">current situation in Sprowston with three developments off Salhouse Road and White House Farm Phase 2 (dwellings 251, 245, 500, 516 = 1512 dwellings in total) all </w:t>
      </w:r>
      <w:r w:rsidR="0076473A">
        <w:rPr>
          <w:sz w:val="24"/>
          <w:szCs w:val="24"/>
        </w:rPr>
        <w:t xml:space="preserve">providing contributions to </w:t>
      </w:r>
      <w:r>
        <w:rPr>
          <w:sz w:val="24"/>
          <w:szCs w:val="24"/>
        </w:rPr>
        <w:t>formal recreation</w:t>
      </w:r>
      <w:r w:rsidR="00FE63DA">
        <w:rPr>
          <w:sz w:val="24"/>
          <w:szCs w:val="24"/>
        </w:rPr>
        <w:t xml:space="preserve">/allotment </w:t>
      </w:r>
      <w:r>
        <w:rPr>
          <w:sz w:val="24"/>
          <w:szCs w:val="24"/>
        </w:rPr>
        <w:t xml:space="preserve">provision off-site. Dwelling numbers should be calculated </w:t>
      </w:r>
      <w:r w:rsidR="0076473A">
        <w:rPr>
          <w:sz w:val="24"/>
          <w:szCs w:val="24"/>
        </w:rPr>
        <w:t xml:space="preserve">as a total </w:t>
      </w:r>
      <w:r>
        <w:rPr>
          <w:sz w:val="24"/>
          <w:szCs w:val="24"/>
        </w:rPr>
        <w:t xml:space="preserve">across the </w:t>
      </w:r>
      <w:r w:rsidR="0076473A">
        <w:rPr>
          <w:sz w:val="24"/>
          <w:szCs w:val="24"/>
        </w:rPr>
        <w:t>whole of a</w:t>
      </w:r>
      <w:r>
        <w:rPr>
          <w:sz w:val="24"/>
          <w:szCs w:val="24"/>
        </w:rPr>
        <w:t xml:space="preserve"> development site (e.g.: whole of </w:t>
      </w:r>
      <w:r w:rsidRPr="008D3FBB">
        <w:rPr>
          <w:sz w:val="24"/>
          <w:szCs w:val="24"/>
        </w:rPr>
        <w:t>GNLP0132)</w:t>
      </w:r>
      <w:r>
        <w:rPr>
          <w:sz w:val="24"/>
          <w:szCs w:val="24"/>
        </w:rPr>
        <w:t xml:space="preserve"> and not per individual developers’ parcels</w:t>
      </w:r>
    </w:p>
    <w:p w14:paraId="6DA7E9A4" w14:textId="51D4784F" w:rsidR="0076473A" w:rsidRDefault="0076473A" w:rsidP="0076473A">
      <w:pPr>
        <w:pStyle w:val="BodyTextIndent"/>
        <w:numPr>
          <w:ilvl w:val="0"/>
          <w:numId w:val="9"/>
        </w:numPr>
        <w:ind w:left="567"/>
        <w:jc w:val="left"/>
        <w:rPr>
          <w:sz w:val="24"/>
          <w:szCs w:val="24"/>
        </w:rPr>
      </w:pPr>
      <w:r>
        <w:rPr>
          <w:sz w:val="24"/>
          <w:szCs w:val="24"/>
        </w:rPr>
        <w:t>Dwelling numbers in separate development sites located contiguously or in close proximity to each other should also be calculated as a total across all sites and not per individual developers’ parcels</w:t>
      </w:r>
    </w:p>
    <w:p w14:paraId="5F18520D" w14:textId="3ADA6E22" w:rsidR="005A5F6B" w:rsidRPr="005A5F6B" w:rsidRDefault="005A5F6B" w:rsidP="00636805">
      <w:pPr>
        <w:pStyle w:val="BodyTextIndent"/>
        <w:numPr>
          <w:ilvl w:val="0"/>
          <w:numId w:val="9"/>
        </w:numPr>
        <w:ind w:left="567"/>
        <w:jc w:val="left"/>
        <w:rPr>
          <w:sz w:val="24"/>
          <w:szCs w:val="24"/>
        </w:rPr>
      </w:pPr>
      <w:r w:rsidRPr="005A5F6B">
        <w:rPr>
          <w:sz w:val="24"/>
          <w:szCs w:val="24"/>
        </w:rPr>
        <w:lastRenderedPageBreak/>
        <w:t>In addition to revising how dwelling numbers are calculated Sprowston Town Council queries the “where characteristics allow” clause for developments of 1000+ dwellings and would like it removed entirely</w:t>
      </w:r>
    </w:p>
    <w:p w14:paraId="1C6CF135" w14:textId="1391C103" w:rsidR="00FE63DA" w:rsidRPr="005A5F6B" w:rsidRDefault="00FE63DA" w:rsidP="008B630E">
      <w:pPr>
        <w:pStyle w:val="BodyTextIndent"/>
        <w:numPr>
          <w:ilvl w:val="0"/>
          <w:numId w:val="9"/>
        </w:numPr>
        <w:ind w:left="567"/>
        <w:jc w:val="left"/>
        <w:rPr>
          <w:sz w:val="24"/>
          <w:szCs w:val="24"/>
        </w:rPr>
      </w:pPr>
      <w:r w:rsidRPr="005A5F6B">
        <w:rPr>
          <w:sz w:val="24"/>
          <w:szCs w:val="24"/>
        </w:rPr>
        <w:t xml:space="preserve">The “Recreational </w:t>
      </w:r>
      <w:bookmarkStart w:id="0" w:name="_GoBack"/>
      <w:r w:rsidRPr="005A5F6B">
        <w:rPr>
          <w:sz w:val="24"/>
          <w:szCs w:val="24"/>
        </w:rPr>
        <w:t xml:space="preserve">Provision </w:t>
      </w:r>
      <w:bookmarkEnd w:id="0"/>
      <w:r w:rsidRPr="005A5F6B">
        <w:rPr>
          <w:sz w:val="24"/>
          <w:szCs w:val="24"/>
        </w:rPr>
        <w:t xml:space="preserve">in Residential Development – Supplementary Planning Document (SPD) April 2016” gives a Threshold Land Value of £100k per hectare (4x agricultural land value). This is the amount the developer must pay a local council to enable the council to purchase land for off-site recreational/allotment use. This amount is insufficient as owners of the few remaining areas of agricultural land </w:t>
      </w:r>
      <w:r w:rsidR="002B1398" w:rsidRPr="005A5F6B">
        <w:rPr>
          <w:sz w:val="24"/>
          <w:szCs w:val="24"/>
        </w:rPr>
        <w:t xml:space="preserve">in Sprowston </w:t>
      </w:r>
      <w:r w:rsidR="00D12F29" w:rsidRPr="005A5F6B">
        <w:rPr>
          <w:sz w:val="24"/>
          <w:szCs w:val="24"/>
        </w:rPr>
        <w:t xml:space="preserve">know their land is worth more if sold for residential development and </w:t>
      </w:r>
      <w:r w:rsidR="002B1398" w:rsidRPr="005A5F6B">
        <w:rPr>
          <w:sz w:val="24"/>
          <w:szCs w:val="24"/>
        </w:rPr>
        <w:t xml:space="preserve">consequently </w:t>
      </w:r>
      <w:r w:rsidRPr="005A5F6B">
        <w:rPr>
          <w:sz w:val="24"/>
          <w:szCs w:val="24"/>
        </w:rPr>
        <w:t xml:space="preserve">are </w:t>
      </w:r>
      <w:r w:rsidR="002B1398" w:rsidRPr="005A5F6B">
        <w:rPr>
          <w:sz w:val="24"/>
          <w:szCs w:val="24"/>
        </w:rPr>
        <w:t>un</w:t>
      </w:r>
      <w:r w:rsidRPr="005A5F6B">
        <w:rPr>
          <w:sz w:val="24"/>
          <w:szCs w:val="24"/>
        </w:rPr>
        <w:t xml:space="preserve">likely to </w:t>
      </w:r>
      <w:r w:rsidR="002B1398" w:rsidRPr="005A5F6B">
        <w:rPr>
          <w:sz w:val="24"/>
          <w:szCs w:val="24"/>
        </w:rPr>
        <w:t>sell at this price</w:t>
      </w:r>
      <w:r w:rsidR="005A5F6B" w:rsidRPr="005A5F6B">
        <w:rPr>
          <w:sz w:val="24"/>
          <w:szCs w:val="24"/>
        </w:rPr>
        <w:t>,</w:t>
      </w:r>
      <w:r w:rsidR="002B1398" w:rsidRPr="005A5F6B">
        <w:rPr>
          <w:sz w:val="24"/>
          <w:szCs w:val="24"/>
        </w:rPr>
        <w:t xml:space="preserve"> instead </w:t>
      </w:r>
      <w:r w:rsidRPr="005A5F6B">
        <w:rPr>
          <w:sz w:val="24"/>
          <w:szCs w:val="24"/>
        </w:rPr>
        <w:t>wait</w:t>
      </w:r>
      <w:r w:rsidR="005A5F6B" w:rsidRPr="005A5F6B">
        <w:rPr>
          <w:sz w:val="24"/>
          <w:szCs w:val="24"/>
        </w:rPr>
        <w:t>ing</w:t>
      </w:r>
      <w:r w:rsidRPr="005A5F6B">
        <w:rPr>
          <w:sz w:val="24"/>
          <w:szCs w:val="24"/>
        </w:rPr>
        <w:t xml:space="preserve"> for future “calls for sites” </w:t>
      </w:r>
      <w:r w:rsidR="00D12F29" w:rsidRPr="005A5F6B">
        <w:rPr>
          <w:sz w:val="24"/>
          <w:szCs w:val="24"/>
        </w:rPr>
        <w:t>in future Local Plans.</w:t>
      </w:r>
    </w:p>
    <w:p w14:paraId="123ABDF8" w14:textId="36AB3723" w:rsidR="00FE63DA" w:rsidRDefault="0076473A" w:rsidP="00495EEE">
      <w:pPr>
        <w:pStyle w:val="BodyTextIndent"/>
        <w:numPr>
          <w:ilvl w:val="0"/>
          <w:numId w:val="9"/>
        </w:numPr>
        <w:ind w:left="567"/>
        <w:jc w:val="left"/>
        <w:rPr>
          <w:sz w:val="24"/>
          <w:szCs w:val="24"/>
        </w:rPr>
      </w:pPr>
      <w:r>
        <w:rPr>
          <w:sz w:val="24"/>
          <w:szCs w:val="24"/>
        </w:rPr>
        <w:t>As a key residential development area,</w:t>
      </w:r>
      <w:r w:rsidR="00FE63DA">
        <w:rPr>
          <w:sz w:val="24"/>
          <w:szCs w:val="24"/>
        </w:rPr>
        <w:t xml:space="preserve"> p</w:t>
      </w:r>
      <w:r>
        <w:rPr>
          <w:sz w:val="24"/>
          <w:szCs w:val="24"/>
        </w:rPr>
        <w:t>ressure for land in Sprowston</w:t>
      </w:r>
      <w:r w:rsidR="00FE63DA">
        <w:rPr>
          <w:sz w:val="24"/>
          <w:szCs w:val="24"/>
        </w:rPr>
        <w:t xml:space="preserve"> is increasing and with it land value. Town Council now faces extreme difficulty buying sufficient new land on which to spend the forecast high levels of developer contributions to off-site formal recreation</w:t>
      </w:r>
      <w:r w:rsidR="005A5F6B">
        <w:rPr>
          <w:sz w:val="24"/>
          <w:szCs w:val="24"/>
        </w:rPr>
        <w:t xml:space="preserve"> and/or allotments</w:t>
      </w:r>
    </w:p>
    <w:p w14:paraId="1C3A2D04" w14:textId="1937E7E2" w:rsidR="00495EEE" w:rsidRDefault="00495EEE" w:rsidP="00495EEE">
      <w:pPr>
        <w:pStyle w:val="BodyTextIndent"/>
        <w:numPr>
          <w:ilvl w:val="0"/>
          <w:numId w:val="9"/>
        </w:numPr>
        <w:ind w:left="567"/>
        <w:jc w:val="left"/>
        <w:rPr>
          <w:sz w:val="24"/>
          <w:szCs w:val="24"/>
        </w:rPr>
      </w:pPr>
      <w:r>
        <w:rPr>
          <w:sz w:val="24"/>
          <w:szCs w:val="24"/>
        </w:rPr>
        <w:t>This leaves Town Council in the position of not being able to provide the space required for formal recreation/allotment provision and puts the spend of Section 106 contributions at risk</w:t>
      </w:r>
    </w:p>
    <w:p w14:paraId="3AB96518" w14:textId="5DDDA8D2" w:rsidR="005A5F6B" w:rsidRDefault="005A5F6B" w:rsidP="00495EEE">
      <w:pPr>
        <w:pStyle w:val="BodyTextIndent"/>
        <w:numPr>
          <w:ilvl w:val="0"/>
          <w:numId w:val="9"/>
        </w:numPr>
        <w:ind w:left="567"/>
        <w:jc w:val="left"/>
        <w:rPr>
          <w:sz w:val="24"/>
          <w:szCs w:val="24"/>
        </w:rPr>
      </w:pPr>
      <w:r>
        <w:rPr>
          <w:sz w:val="24"/>
          <w:szCs w:val="24"/>
        </w:rPr>
        <w:t>On the current trajectory the net result will be that there will not be sufficient recreational provision for the estimated 5000-6000 extra residents that the new developments will bring</w:t>
      </w:r>
    </w:p>
    <w:p w14:paraId="4D90E878" w14:textId="29F93991" w:rsidR="00495EEE" w:rsidRPr="005A5F6B" w:rsidRDefault="005A5F6B" w:rsidP="0055615E">
      <w:pPr>
        <w:pStyle w:val="BodyTextIndent"/>
        <w:numPr>
          <w:ilvl w:val="0"/>
          <w:numId w:val="9"/>
        </w:numPr>
        <w:ind w:left="567"/>
        <w:jc w:val="left"/>
        <w:rPr>
          <w:sz w:val="24"/>
          <w:szCs w:val="24"/>
        </w:rPr>
      </w:pPr>
      <w:r w:rsidRPr="005A5F6B">
        <w:rPr>
          <w:sz w:val="24"/>
          <w:szCs w:val="24"/>
        </w:rPr>
        <w:t>Council feels it to be of the utmost importance that any future developments are only granted approval if sufficient formal recreation and/or allotment space is included as part of the development</w:t>
      </w:r>
    </w:p>
    <w:p w14:paraId="20CE5BCE" w14:textId="07DD60B5" w:rsidR="0076473A" w:rsidRDefault="0076473A" w:rsidP="0076473A">
      <w:pPr>
        <w:pStyle w:val="BodyTextIndent"/>
        <w:ind w:left="567" w:firstLine="135"/>
        <w:jc w:val="left"/>
        <w:rPr>
          <w:sz w:val="24"/>
          <w:szCs w:val="24"/>
        </w:rPr>
      </w:pPr>
    </w:p>
    <w:p w14:paraId="3C66AB5F" w14:textId="77777777" w:rsidR="008F7407" w:rsidRDefault="008F7407" w:rsidP="006063D3">
      <w:pPr>
        <w:pStyle w:val="BodyTextIndent"/>
        <w:ind w:left="567"/>
        <w:jc w:val="left"/>
        <w:rPr>
          <w:sz w:val="24"/>
          <w:szCs w:val="24"/>
        </w:rPr>
      </w:pPr>
    </w:p>
    <w:p w14:paraId="759B60B3" w14:textId="192BB25F" w:rsidR="008F7407" w:rsidRDefault="008F7407" w:rsidP="006063D3">
      <w:pPr>
        <w:pStyle w:val="BodyTextIndent"/>
        <w:ind w:left="567"/>
        <w:jc w:val="left"/>
        <w:rPr>
          <w:sz w:val="24"/>
          <w:szCs w:val="24"/>
        </w:rPr>
      </w:pPr>
      <w:r>
        <w:rPr>
          <w:sz w:val="24"/>
          <w:szCs w:val="24"/>
        </w:rPr>
        <w:t>End</w:t>
      </w:r>
    </w:p>
    <w:sectPr w:rsidR="008F7407" w:rsidSect="00794FB0">
      <w:headerReference w:type="default" r:id="rId7"/>
      <w:footerReference w:type="default" r:id="rId8"/>
      <w:pgSz w:w="11906" w:h="16838"/>
      <w:pgMar w:top="1945" w:right="1274" w:bottom="1440" w:left="1440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B304E" w14:textId="77777777" w:rsidR="00770081" w:rsidRDefault="00770081" w:rsidP="00770081">
      <w:pPr>
        <w:spacing w:after="0" w:line="240" w:lineRule="auto"/>
      </w:pPr>
      <w:r>
        <w:separator/>
      </w:r>
    </w:p>
  </w:endnote>
  <w:endnote w:type="continuationSeparator" w:id="0">
    <w:p w14:paraId="29670514" w14:textId="77777777" w:rsidR="00770081" w:rsidRDefault="00770081" w:rsidP="00770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5B981" w14:textId="77777777" w:rsidR="008F7407" w:rsidRDefault="008F7407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71301EBE" w14:textId="77777777" w:rsidR="008F7407" w:rsidRDefault="008F7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EE03A" w14:textId="77777777" w:rsidR="00770081" w:rsidRDefault="00770081" w:rsidP="00770081">
      <w:pPr>
        <w:spacing w:after="0" w:line="240" w:lineRule="auto"/>
      </w:pPr>
      <w:r>
        <w:separator/>
      </w:r>
    </w:p>
  </w:footnote>
  <w:footnote w:type="continuationSeparator" w:id="0">
    <w:p w14:paraId="64C6D978" w14:textId="77777777" w:rsidR="00770081" w:rsidRDefault="00770081" w:rsidP="00770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B6059" w14:textId="5169D533" w:rsidR="008F7407" w:rsidRDefault="008F7407" w:rsidP="008F7407">
    <w:pPr>
      <w:pStyle w:val="BodyTextIndent"/>
      <w:spacing w:after="120"/>
      <w:ind w:left="0"/>
      <w:jc w:val="left"/>
      <w:rPr>
        <w:b/>
        <w:bCs/>
        <w:sz w:val="24"/>
        <w:szCs w:val="24"/>
      </w:rPr>
    </w:pPr>
    <w:r w:rsidRPr="008F7407">
      <w:rPr>
        <w:b/>
        <w:bCs/>
        <w:sz w:val="24"/>
        <w:szCs w:val="24"/>
      </w:rPr>
      <w:t xml:space="preserve">SPROWSTON TOWN COUNCIL’S RESPONSE TO: </w:t>
    </w:r>
  </w:p>
  <w:p w14:paraId="6424F3AC" w14:textId="78A4E7C5" w:rsidR="008F7407" w:rsidRDefault="008F7407" w:rsidP="008F7407">
    <w:pPr>
      <w:pStyle w:val="BodyTextIndent"/>
      <w:spacing w:after="120"/>
      <w:ind w:left="0"/>
      <w:jc w:val="left"/>
      <w:rPr>
        <w:b/>
        <w:bCs/>
        <w:sz w:val="24"/>
        <w:szCs w:val="24"/>
      </w:rPr>
    </w:pPr>
  </w:p>
  <w:p w14:paraId="19A9EF63" w14:textId="77777777" w:rsidR="008F7407" w:rsidRPr="00096E56" w:rsidRDefault="008F7407" w:rsidP="008F7407">
    <w:pPr>
      <w:pStyle w:val="BodyTextIndent"/>
      <w:ind w:left="0"/>
      <w:jc w:val="left"/>
      <w:rPr>
        <w:b/>
        <w:bCs/>
        <w:sz w:val="24"/>
        <w:szCs w:val="24"/>
        <w:u w:val="single"/>
      </w:rPr>
    </w:pPr>
    <w:r>
      <w:rPr>
        <w:b/>
        <w:bCs/>
        <w:sz w:val="24"/>
        <w:szCs w:val="24"/>
        <w:u w:val="single"/>
      </w:rPr>
      <w:t xml:space="preserve">GREATER NORWICH LOCAL PLAN CONSULTATION 2020 - </w:t>
    </w:r>
    <w:r w:rsidRPr="00096E56">
      <w:rPr>
        <w:b/>
        <w:bCs/>
        <w:sz w:val="24"/>
        <w:szCs w:val="24"/>
        <w:u w:val="single"/>
      </w:rPr>
      <w:t xml:space="preserve">RESIDENTIAL </w:t>
    </w:r>
  </w:p>
  <w:p w14:paraId="27517971" w14:textId="77777777" w:rsidR="008F7407" w:rsidRDefault="008F7407" w:rsidP="008F7407">
    <w:pPr>
      <w:pStyle w:val="BodyTextIndent"/>
      <w:ind w:left="0"/>
      <w:jc w:val="left"/>
      <w:rPr>
        <w:sz w:val="24"/>
        <w:szCs w:val="24"/>
      </w:rPr>
    </w:pPr>
  </w:p>
  <w:p w14:paraId="7BAC9AAC" w14:textId="77777777" w:rsidR="008F7407" w:rsidRDefault="008F7407" w:rsidP="008F7407">
    <w:pPr>
      <w:pStyle w:val="BodyTextIndent"/>
      <w:ind w:left="567" w:hanging="567"/>
      <w:jc w:val="left"/>
      <w:rPr>
        <w:sz w:val="24"/>
        <w:szCs w:val="24"/>
        <w:u w:val="single"/>
      </w:rPr>
    </w:pPr>
  </w:p>
  <w:p w14:paraId="27B6A249" w14:textId="77777777" w:rsidR="008F7407" w:rsidRPr="00643E23" w:rsidRDefault="008F7407" w:rsidP="008F7407">
    <w:pPr>
      <w:pStyle w:val="BodyTextIndent"/>
      <w:ind w:left="567" w:hanging="567"/>
      <w:jc w:val="left"/>
      <w:rPr>
        <w:sz w:val="24"/>
        <w:szCs w:val="24"/>
        <w:u w:val="single"/>
      </w:rPr>
    </w:pPr>
    <w:r w:rsidRPr="00643E23">
      <w:rPr>
        <w:sz w:val="24"/>
        <w:szCs w:val="24"/>
        <w:u w:val="single"/>
      </w:rPr>
      <w:t xml:space="preserve">GNLP0132 Land off Blue Boar Lane/Salhouse Road </w:t>
    </w:r>
  </w:p>
  <w:p w14:paraId="7A7E9B9A" w14:textId="77777777" w:rsidR="008F7407" w:rsidRDefault="008F74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01CB4"/>
    <w:multiLevelType w:val="hybridMultilevel"/>
    <w:tmpl w:val="D3842C26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69042AD"/>
    <w:multiLevelType w:val="hybridMultilevel"/>
    <w:tmpl w:val="C4BCE316"/>
    <w:lvl w:ilvl="0" w:tplc="1CC645EC">
      <w:start w:val="1"/>
      <w:numFmt w:val="decimal"/>
      <w:lvlText w:val="(%1)"/>
      <w:lvlJc w:val="left"/>
      <w:pPr>
        <w:ind w:left="1211" w:hanging="360"/>
      </w:pPr>
    </w:lvl>
    <w:lvl w:ilvl="1" w:tplc="08090019">
      <w:start w:val="1"/>
      <w:numFmt w:val="lowerLetter"/>
      <w:lvlText w:val="%2."/>
      <w:lvlJc w:val="left"/>
      <w:pPr>
        <w:ind w:left="1931" w:hanging="360"/>
      </w:pPr>
    </w:lvl>
    <w:lvl w:ilvl="2" w:tplc="0809001B">
      <w:start w:val="1"/>
      <w:numFmt w:val="lowerRoman"/>
      <w:lvlText w:val="%3."/>
      <w:lvlJc w:val="right"/>
      <w:pPr>
        <w:ind w:left="2651" w:hanging="180"/>
      </w:pPr>
    </w:lvl>
    <w:lvl w:ilvl="3" w:tplc="0809000F">
      <w:start w:val="1"/>
      <w:numFmt w:val="decimal"/>
      <w:lvlText w:val="%4."/>
      <w:lvlJc w:val="left"/>
      <w:pPr>
        <w:ind w:left="3371" w:hanging="360"/>
      </w:pPr>
    </w:lvl>
    <w:lvl w:ilvl="4" w:tplc="08090019">
      <w:start w:val="1"/>
      <w:numFmt w:val="lowerLetter"/>
      <w:lvlText w:val="%5."/>
      <w:lvlJc w:val="left"/>
      <w:pPr>
        <w:ind w:left="4091" w:hanging="360"/>
      </w:pPr>
    </w:lvl>
    <w:lvl w:ilvl="5" w:tplc="0809001B">
      <w:start w:val="1"/>
      <w:numFmt w:val="lowerRoman"/>
      <w:lvlText w:val="%6."/>
      <w:lvlJc w:val="right"/>
      <w:pPr>
        <w:ind w:left="4811" w:hanging="180"/>
      </w:pPr>
    </w:lvl>
    <w:lvl w:ilvl="6" w:tplc="0809000F">
      <w:start w:val="1"/>
      <w:numFmt w:val="decimal"/>
      <w:lvlText w:val="%7."/>
      <w:lvlJc w:val="left"/>
      <w:pPr>
        <w:ind w:left="5531" w:hanging="360"/>
      </w:pPr>
    </w:lvl>
    <w:lvl w:ilvl="7" w:tplc="08090019">
      <w:start w:val="1"/>
      <w:numFmt w:val="lowerLetter"/>
      <w:lvlText w:val="%8."/>
      <w:lvlJc w:val="left"/>
      <w:pPr>
        <w:ind w:left="6251" w:hanging="360"/>
      </w:pPr>
    </w:lvl>
    <w:lvl w:ilvl="8" w:tplc="0809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3D4103"/>
    <w:multiLevelType w:val="hybridMultilevel"/>
    <w:tmpl w:val="80EE881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6B2C6A"/>
    <w:multiLevelType w:val="hybridMultilevel"/>
    <w:tmpl w:val="3AF415D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134CEC"/>
    <w:multiLevelType w:val="hybridMultilevel"/>
    <w:tmpl w:val="6E4CB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A08DC"/>
    <w:multiLevelType w:val="hybridMultilevel"/>
    <w:tmpl w:val="45F06064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7570211D"/>
    <w:multiLevelType w:val="hybridMultilevel"/>
    <w:tmpl w:val="BB74E64A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8B"/>
    <w:rsid w:val="00017926"/>
    <w:rsid w:val="00096E56"/>
    <w:rsid w:val="00117676"/>
    <w:rsid w:val="00230302"/>
    <w:rsid w:val="002915C8"/>
    <w:rsid w:val="002922EC"/>
    <w:rsid w:val="002B1398"/>
    <w:rsid w:val="002E09E8"/>
    <w:rsid w:val="00495EEE"/>
    <w:rsid w:val="005137C8"/>
    <w:rsid w:val="0057194E"/>
    <w:rsid w:val="005A5F6B"/>
    <w:rsid w:val="006063D3"/>
    <w:rsid w:val="006205ED"/>
    <w:rsid w:val="00643E23"/>
    <w:rsid w:val="006906EA"/>
    <w:rsid w:val="0076473A"/>
    <w:rsid w:val="00770081"/>
    <w:rsid w:val="00794FB0"/>
    <w:rsid w:val="008773EE"/>
    <w:rsid w:val="008D3FBB"/>
    <w:rsid w:val="008F7407"/>
    <w:rsid w:val="009A4A3E"/>
    <w:rsid w:val="00A877B1"/>
    <w:rsid w:val="00BA3359"/>
    <w:rsid w:val="00D12F29"/>
    <w:rsid w:val="00ED4E1F"/>
    <w:rsid w:val="00F0648B"/>
    <w:rsid w:val="00FE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87CDCF"/>
  <w15:chartTrackingRefBased/>
  <w15:docId w15:val="{9D07EEC7-1634-4845-958C-37C933A3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6063D3"/>
    <w:pPr>
      <w:spacing w:after="0" w:line="240" w:lineRule="auto"/>
      <w:ind w:left="720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063D3"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495E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00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081"/>
  </w:style>
  <w:style w:type="paragraph" w:styleId="Footer">
    <w:name w:val="footer"/>
    <w:basedOn w:val="Normal"/>
    <w:link w:val="FooterChar"/>
    <w:uiPriority w:val="99"/>
    <w:unhideWhenUsed/>
    <w:rsid w:val="007700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0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Ranaweera</dc:creator>
  <cp:keywords/>
  <dc:description/>
  <cp:lastModifiedBy>Guy Ranaweera</cp:lastModifiedBy>
  <cp:revision>4</cp:revision>
  <cp:lastPrinted>2020-03-06T12:21:00Z</cp:lastPrinted>
  <dcterms:created xsi:type="dcterms:W3CDTF">2020-03-13T16:45:00Z</dcterms:created>
  <dcterms:modified xsi:type="dcterms:W3CDTF">2020-03-13T16:53:00Z</dcterms:modified>
</cp:coreProperties>
</file>