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0"/>
        <w:gridCol w:w="2670"/>
        <w:gridCol w:w="2662"/>
      </w:tblGrid>
      <w:tr w:rsidR="00802795" w14:paraId="2E70174B" w14:textId="77777777" w:rsidTr="00630953">
        <w:tc>
          <w:tcPr>
            <w:tcW w:w="4340" w:type="dxa"/>
          </w:tcPr>
          <w:p w14:paraId="4E5B6DBA" w14:textId="5D968CB1" w:rsidR="00802795" w:rsidRDefault="005C4779">
            <w:proofErr w:type="spellStart"/>
            <w:r>
              <w:t>Mr</w:t>
            </w:r>
            <w:proofErr w:type="spellEnd"/>
            <w:r>
              <w:t xml:space="preserve"> Mike Burrell</w:t>
            </w:r>
          </w:p>
          <w:p w14:paraId="2A5C9CAC" w14:textId="28FF3E4F" w:rsidR="005C4779" w:rsidRDefault="005C4779">
            <w:r>
              <w:t>Greater Norwich Planning Policy Team Manager</w:t>
            </w:r>
          </w:p>
        </w:tc>
        <w:tc>
          <w:tcPr>
            <w:tcW w:w="2670" w:type="dxa"/>
          </w:tcPr>
          <w:p w14:paraId="659EC118" w14:textId="77777777" w:rsidR="00802795" w:rsidRDefault="00802795">
            <w:pPr>
              <w:jc w:val="right"/>
              <w:rPr>
                <w:b/>
              </w:rPr>
            </w:pPr>
            <w:r>
              <w:rPr>
                <w:b/>
              </w:rPr>
              <w:t>Date:</w:t>
            </w:r>
          </w:p>
          <w:p w14:paraId="1662A49E" w14:textId="77777777" w:rsidR="00802795" w:rsidRDefault="00802795">
            <w:pPr>
              <w:jc w:val="right"/>
              <w:rPr>
                <w:b/>
              </w:rPr>
            </w:pPr>
            <w:r>
              <w:rPr>
                <w:b/>
              </w:rPr>
              <w:t>Please ask for:</w:t>
            </w:r>
          </w:p>
          <w:p w14:paraId="6151EE47" w14:textId="77777777" w:rsidR="00802795" w:rsidRDefault="0070358B">
            <w:pPr>
              <w:jc w:val="right"/>
              <w:rPr>
                <w:b/>
              </w:rPr>
            </w:pPr>
            <w:r>
              <w:rPr>
                <w:b/>
              </w:rPr>
              <w:t>Customer Services</w:t>
            </w:r>
            <w:r w:rsidR="00802795">
              <w:rPr>
                <w:b/>
              </w:rPr>
              <w:t>:</w:t>
            </w:r>
          </w:p>
          <w:p w14:paraId="1F2F126E" w14:textId="086E60F1" w:rsidR="00802795" w:rsidRDefault="00802795">
            <w:pPr>
              <w:jc w:val="right"/>
              <w:rPr>
                <w:b/>
              </w:rPr>
            </w:pPr>
            <w:bookmarkStart w:id="0" w:name="_GoBack"/>
            <w:bookmarkEnd w:id="0"/>
          </w:p>
        </w:tc>
        <w:tc>
          <w:tcPr>
            <w:tcW w:w="2662" w:type="dxa"/>
          </w:tcPr>
          <w:p w14:paraId="5279511A" w14:textId="18D9BA57" w:rsidR="00802795" w:rsidRDefault="0042151B">
            <w:r>
              <w:t>1</w:t>
            </w:r>
            <w:r w:rsidR="00FD3313">
              <w:t>3</w:t>
            </w:r>
            <w:r w:rsidRPr="0042151B">
              <w:rPr>
                <w:vertAlign w:val="superscript"/>
              </w:rPr>
              <w:t>th</w:t>
            </w:r>
            <w:r>
              <w:t xml:space="preserve"> March 2020</w:t>
            </w:r>
          </w:p>
          <w:p w14:paraId="132928B1" w14:textId="15294393" w:rsidR="00802795" w:rsidRDefault="0042151B">
            <w:r>
              <w:t>Ruth Bishop</w:t>
            </w:r>
          </w:p>
          <w:p w14:paraId="111D5C71" w14:textId="41974708" w:rsidR="00802795" w:rsidRDefault="00802795">
            <w:r>
              <w:t>03330 162 000</w:t>
            </w:r>
          </w:p>
        </w:tc>
      </w:tr>
    </w:tbl>
    <w:p w14:paraId="63432009" w14:textId="77777777" w:rsidR="00802795" w:rsidRDefault="00802795">
      <w:pPr>
        <w:tabs>
          <w:tab w:val="left" w:pos="3833"/>
          <w:tab w:val="left" w:pos="9923"/>
        </w:tabs>
        <w:spacing w:after="0" w:line="240" w:lineRule="auto"/>
        <w:ind w:right="1559"/>
        <w:rPr>
          <w:rFonts w:ascii="Calibri" w:eastAsia="MS Mincho" w:hAnsi="Calibri" w:cs="Arial"/>
          <w:sz w:val="24"/>
          <w:szCs w:val="24"/>
          <w:lang w:val="en-US"/>
        </w:rPr>
      </w:pPr>
    </w:p>
    <w:p w14:paraId="2130F581" w14:textId="77777777" w:rsidR="00537345" w:rsidRDefault="00537345">
      <w:pPr>
        <w:tabs>
          <w:tab w:val="left" w:pos="3833"/>
          <w:tab w:val="left" w:pos="9923"/>
        </w:tabs>
        <w:spacing w:after="0" w:line="240" w:lineRule="auto"/>
        <w:ind w:right="1559"/>
        <w:rPr>
          <w:rFonts w:ascii="Calibri" w:eastAsia="MS Mincho" w:hAnsi="Calibri" w:cs="Arial"/>
          <w:sz w:val="24"/>
          <w:szCs w:val="24"/>
          <w:lang w:val="en-US"/>
        </w:rPr>
      </w:pPr>
    </w:p>
    <w:p w14:paraId="6E470F7B" w14:textId="52DDAACC" w:rsidR="00802795" w:rsidRPr="007C5718" w:rsidRDefault="00802795" w:rsidP="003D22BD">
      <w:pPr>
        <w:tabs>
          <w:tab w:val="left" w:pos="2548"/>
        </w:tabs>
        <w:spacing w:after="0" w:line="240" w:lineRule="auto"/>
        <w:ind w:right="141"/>
        <w:jc w:val="both"/>
        <w:rPr>
          <w:rFonts w:ascii="Calibri" w:eastAsia="MS Mincho" w:hAnsi="Calibri" w:cs="Arial"/>
          <w:lang w:val="en-US"/>
        </w:rPr>
      </w:pPr>
      <w:r w:rsidRPr="007C5718">
        <w:rPr>
          <w:rFonts w:ascii="Calibri" w:eastAsia="MS Mincho" w:hAnsi="Calibri" w:cs="Arial"/>
          <w:lang w:val="en-US"/>
        </w:rPr>
        <w:t>Dear</w:t>
      </w:r>
      <w:r w:rsidR="00537345" w:rsidRPr="007C5718">
        <w:rPr>
          <w:rFonts w:ascii="Calibri" w:eastAsia="MS Mincho" w:hAnsi="Calibri" w:cs="Arial"/>
          <w:lang w:val="en-US"/>
        </w:rPr>
        <w:t xml:space="preserve"> </w:t>
      </w:r>
      <w:proofErr w:type="spellStart"/>
      <w:r w:rsidR="005C4779" w:rsidRPr="007C5718">
        <w:rPr>
          <w:rFonts w:ascii="Calibri" w:eastAsia="MS Mincho" w:hAnsi="Calibri" w:cs="Arial"/>
          <w:lang w:val="en-US"/>
        </w:rPr>
        <w:t>Mr</w:t>
      </w:r>
      <w:proofErr w:type="spellEnd"/>
      <w:r w:rsidR="005C4779" w:rsidRPr="007C5718">
        <w:rPr>
          <w:rFonts w:ascii="Calibri" w:eastAsia="MS Mincho" w:hAnsi="Calibri" w:cs="Arial"/>
          <w:lang w:val="en-US"/>
        </w:rPr>
        <w:t xml:space="preserve"> Burrell</w:t>
      </w:r>
      <w:r w:rsidR="00C46C55" w:rsidRPr="007C5718">
        <w:rPr>
          <w:rFonts w:ascii="Calibri" w:eastAsia="MS Mincho" w:hAnsi="Calibri" w:cs="Arial"/>
          <w:lang w:val="en-US"/>
        </w:rPr>
        <w:t>,</w:t>
      </w:r>
    </w:p>
    <w:p w14:paraId="3729D5AC" w14:textId="77777777" w:rsidR="00802795" w:rsidRPr="007C5718" w:rsidRDefault="00802795" w:rsidP="003D22BD">
      <w:pPr>
        <w:tabs>
          <w:tab w:val="left" w:pos="2548"/>
        </w:tabs>
        <w:spacing w:after="0" w:line="240" w:lineRule="auto"/>
        <w:ind w:right="141"/>
        <w:jc w:val="both"/>
        <w:rPr>
          <w:rFonts w:ascii="Calibri" w:eastAsia="MS Mincho" w:hAnsi="Calibri" w:cs="Arial"/>
          <w:lang w:val="en-US"/>
        </w:rPr>
      </w:pPr>
    </w:p>
    <w:p w14:paraId="49DA2C03" w14:textId="77777777" w:rsidR="00C46C55" w:rsidRPr="007C5718" w:rsidRDefault="00C46C55" w:rsidP="003D22BD">
      <w:pPr>
        <w:spacing w:after="0" w:line="240" w:lineRule="auto"/>
        <w:rPr>
          <w:rFonts w:ascii="Calibri" w:eastAsia="MS Mincho" w:hAnsi="Calibri"/>
          <w:b/>
          <w:lang w:val="en-US"/>
        </w:rPr>
      </w:pPr>
      <w:r w:rsidRPr="007C5718">
        <w:rPr>
          <w:rFonts w:ascii="Calibri" w:eastAsia="MS Mincho" w:hAnsi="Calibri"/>
          <w:b/>
          <w:lang w:val="en-US"/>
        </w:rPr>
        <w:t xml:space="preserve">Greater Norwich Local Plan </w:t>
      </w:r>
    </w:p>
    <w:p w14:paraId="5AF70837" w14:textId="6E25E95E" w:rsidR="00802795" w:rsidRPr="007C5718" w:rsidRDefault="00C46C55" w:rsidP="003D22BD">
      <w:pPr>
        <w:spacing w:after="0" w:line="240" w:lineRule="auto"/>
        <w:rPr>
          <w:rFonts w:ascii="Calibri" w:eastAsia="MS Mincho" w:hAnsi="Calibri"/>
          <w:b/>
          <w:lang w:val="en-US"/>
        </w:rPr>
      </w:pPr>
      <w:r w:rsidRPr="007C5718">
        <w:rPr>
          <w:rFonts w:ascii="Calibri" w:eastAsia="MS Mincho" w:hAnsi="Calibri"/>
          <w:b/>
          <w:lang w:val="en-US"/>
        </w:rPr>
        <w:t>Regulation 18 Draft Consultation</w:t>
      </w:r>
    </w:p>
    <w:p w14:paraId="3F76A971" w14:textId="4EC76029" w:rsidR="00C46C55" w:rsidRPr="007C5718" w:rsidRDefault="00C46C55" w:rsidP="003D22BD">
      <w:pPr>
        <w:spacing w:after="0" w:line="240" w:lineRule="auto"/>
        <w:rPr>
          <w:rFonts w:ascii="Calibri" w:eastAsia="MS Mincho" w:hAnsi="Calibri"/>
          <w:bCs/>
          <w:lang w:val="en-US"/>
        </w:rPr>
      </w:pPr>
    </w:p>
    <w:p w14:paraId="51C0DD4F" w14:textId="67D848F3" w:rsidR="00C46C55" w:rsidRPr="007C5718" w:rsidRDefault="00C46C55" w:rsidP="003D22BD">
      <w:pPr>
        <w:spacing w:after="0" w:line="240" w:lineRule="auto"/>
        <w:rPr>
          <w:rFonts w:ascii="Calibri" w:eastAsia="MS Mincho" w:hAnsi="Calibri"/>
          <w:bCs/>
          <w:lang w:val="en-US"/>
        </w:rPr>
      </w:pPr>
      <w:r w:rsidRPr="007C5718">
        <w:rPr>
          <w:rFonts w:ascii="Calibri" w:eastAsia="MS Mincho" w:hAnsi="Calibri"/>
          <w:bCs/>
          <w:lang w:val="en-US"/>
        </w:rPr>
        <w:t xml:space="preserve">Thank you for consulting East Suffolk Council </w:t>
      </w:r>
      <w:r w:rsidR="007B1A4A">
        <w:rPr>
          <w:rFonts w:ascii="Calibri" w:eastAsia="MS Mincho" w:hAnsi="Calibri"/>
          <w:bCs/>
          <w:lang w:val="en-US"/>
        </w:rPr>
        <w:t xml:space="preserve">(The Council) </w:t>
      </w:r>
      <w:r w:rsidRPr="007C5718">
        <w:rPr>
          <w:rFonts w:ascii="Calibri" w:eastAsia="MS Mincho" w:hAnsi="Calibri"/>
          <w:bCs/>
          <w:lang w:val="en-US"/>
        </w:rPr>
        <w:t xml:space="preserve">on the Greater Norwich Local Plan Draft Strategy. </w:t>
      </w:r>
      <w:r w:rsidR="007B1A4A">
        <w:rPr>
          <w:rFonts w:ascii="Calibri" w:eastAsia="MS Mincho" w:hAnsi="Calibri"/>
          <w:bCs/>
          <w:lang w:val="en-US"/>
        </w:rPr>
        <w:t xml:space="preserve">The Council would like to </w:t>
      </w:r>
      <w:r w:rsidR="00E362A8">
        <w:rPr>
          <w:rFonts w:ascii="Calibri" w:eastAsia="MS Mincho" w:hAnsi="Calibri"/>
          <w:bCs/>
          <w:lang w:val="en-US"/>
        </w:rPr>
        <w:t xml:space="preserve">take </w:t>
      </w:r>
      <w:r w:rsidR="007B1A4A">
        <w:rPr>
          <w:rFonts w:ascii="Calibri" w:eastAsia="MS Mincho" w:hAnsi="Calibri"/>
          <w:bCs/>
          <w:lang w:val="en-US"/>
        </w:rPr>
        <w:t>the opportunity to express its support for the Greater Norwich Local Plan Draft Stra</w:t>
      </w:r>
      <w:r w:rsidR="00877D27">
        <w:rPr>
          <w:rFonts w:ascii="Calibri" w:eastAsia="MS Mincho" w:hAnsi="Calibri"/>
          <w:bCs/>
          <w:lang w:val="en-US"/>
        </w:rPr>
        <w:t>t</w:t>
      </w:r>
      <w:r w:rsidR="007B1A4A">
        <w:rPr>
          <w:rFonts w:ascii="Calibri" w:eastAsia="MS Mincho" w:hAnsi="Calibri"/>
          <w:bCs/>
          <w:lang w:val="en-US"/>
        </w:rPr>
        <w:t>egy.</w:t>
      </w:r>
    </w:p>
    <w:p w14:paraId="15BE5E90" w14:textId="77777777" w:rsidR="00C46C55" w:rsidRPr="007C5718" w:rsidRDefault="00C46C55" w:rsidP="003D22BD">
      <w:pPr>
        <w:spacing w:after="0" w:line="240" w:lineRule="auto"/>
        <w:rPr>
          <w:rFonts w:ascii="Calibri" w:eastAsia="MS Mincho" w:hAnsi="Calibri"/>
          <w:bCs/>
          <w:lang w:val="en-US"/>
        </w:rPr>
      </w:pPr>
    </w:p>
    <w:p w14:paraId="668D6C78" w14:textId="6D451D8D" w:rsidR="00CF649C" w:rsidRPr="007C5718" w:rsidRDefault="00CF649C" w:rsidP="003D22BD">
      <w:pPr>
        <w:tabs>
          <w:tab w:val="left" w:pos="2548"/>
        </w:tabs>
        <w:spacing w:after="0" w:line="240" w:lineRule="auto"/>
        <w:ind w:right="141"/>
        <w:jc w:val="both"/>
        <w:rPr>
          <w:rFonts w:ascii="Calibri" w:eastAsia="MS Mincho" w:hAnsi="Calibri" w:cs="Arial"/>
          <w:b/>
          <w:bCs/>
          <w:lang w:val="en-US"/>
        </w:rPr>
      </w:pPr>
      <w:r w:rsidRPr="007C5718">
        <w:rPr>
          <w:rFonts w:ascii="Calibri" w:eastAsia="MS Mincho" w:hAnsi="Calibri" w:cs="Arial"/>
          <w:b/>
          <w:bCs/>
          <w:lang w:val="en-US"/>
        </w:rPr>
        <w:t>Section 1 – Introduction</w:t>
      </w:r>
    </w:p>
    <w:p w14:paraId="5CE6EBA1" w14:textId="7EC2B337" w:rsidR="00C46C55" w:rsidRPr="007C5718" w:rsidRDefault="00C46C55" w:rsidP="00C46C55">
      <w:pPr>
        <w:spacing w:after="0" w:line="240" w:lineRule="auto"/>
      </w:pPr>
      <w:r w:rsidRPr="007C5718">
        <w:t>Paragraph 15 refers to a plan period to 20</w:t>
      </w:r>
      <w:r w:rsidRPr="007C5718">
        <w:rPr>
          <w:b/>
          <w:bCs/>
          <w:u w:val="single"/>
        </w:rPr>
        <w:t>36</w:t>
      </w:r>
      <w:r w:rsidRPr="007C5718">
        <w:t xml:space="preserve">. </w:t>
      </w:r>
      <w:proofErr w:type="gramStart"/>
      <w:r w:rsidRPr="007C5718">
        <w:t>This need</w:t>
      </w:r>
      <w:r w:rsidR="00815109">
        <w:t>s</w:t>
      </w:r>
      <w:proofErr w:type="gramEnd"/>
      <w:r w:rsidRPr="007C5718">
        <w:t xml:space="preserve"> amending to 2038, as noted elsewhere in the document.</w:t>
      </w:r>
    </w:p>
    <w:p w14:paraId="6E1992AF" w14:textId="291B0F4E" w:rsidR="0028675D" w:rsidRDefault="0028675D" w:rsidP="00C46C55">
      <w:pPr>
        <w:spacing w:after="0" w:line="240" w:lineRule="auto"/>
      </w:pPr>
    </w:p>
    <w:p w14:paraId="0E26E2CE" w14:textId="6322BB3B" w:rsidR="009B3AC2" w:rsidRPr="009B3AC2" w:rsidRDefault="009B3AC2" w:rsidP="00C46C55">
      <w:pPr>
        <w:spacing w:after="0" w:line="240" w:lineRule="auto"/>
        <w:rPr>
          <w:b/>
          <w:bCs/>
        </w:rPr>
      </w:pPr>
      <w:r w:rsidRPr="009B3AC2">
        <w:rPr>
          <w:b/>
          <w:bCs/>
        </w:rPr>
        <w:t>Section 2- Greater Norwich S</w:t>
      </w:r>
      <w:r>
        <w:rPr>
          <w:b/>
          <w:bCs/>
        </w:rPr>
        <w:t>p</w:t>
      </w:r>
      <w:r w:rsidRPr="009B3AC2">
        <w:rPr>
          <w:b/>
          <w:bCs/>
        </w:rPr>
        <w:t>atial Profile</w:t>
      </w:r>
    </w:p>
    <w:p w14:paraId="2AE93593" w14:textId="1A3552FF" w:rsidR="005E4EEB" w:rsidRPr="007C5718" w:rsidRDefault="0028675D" w:rsidP="00C46C55">
      <w:pPr>
        <w:spacing w:after="0" w:line="240" w:lineRule="auto"/>
      </w:pPr>
      <w:r w:rsidRPr="007C5718">
        <w:t xml:space="preserve">Paragraph 70 notes that the A146 forms part of the Government’s Major Road Network (MRN) of local non-trunk roads of national importance. East Suffolk is pleased </w:t>
      </w:r>
      <w:r w:rsidR="005E4EEB" w:rsidRPr="007C5718">
        <w:t xml:space="preserve">that the importance of the A146 has been recognised as it is </w:t>
      </w:r>
      <w:r w:rsidR="00815109">
        <w:t xml:space="preserve">a </w:t>
      </w:r>
      <w:r w:rsidR="005E4EEB" w:rsidRPr="007C5718">
        <w:t>key link between Lowestoft, Beccles and Norwich. The Suffolk County Transport Model (SCTM) – Preferred Option Traffic Forecasting Report (March 2018) notes that</w:t>
      </w:r>
      <w:r w:rsidR="00815109">
        <w:t xml:space="preserve"> the</w:t>
      </w:r>
      <w:r w:rsidR="005E4EEB" w:rsidRPr="007C5718">
        <w:t xml:space="preserve"> A146 Norwich Road/Loddon Road and the A146 Norwich Road/A143 Yarmouth Road are two junctions that will reach 90-99% capacity by end of the Waveney Local Plan period, 2036. The two junctions are close to Beccles but fall within the South Norfolk Council/Greater Norwich area. </w:t>
      </w:r>
      <w:r w:rsidR="00B676BD" w:rsidRPr="007C5718">
        <w:t xml:space="preserve">Measures to address traffic issues on the A146 near Beccles </w:t>
      </w:r>
      <w:r w:rsidR="008D427E" w:rsidRPr="007C5718">
        <w:t>are likely to be</w:t>
      </w:r>
      <w:r w:rsidR="00B676BD" w:rsidRPr="007C5718">
        <w:t xml:space="preserve"> necessary in future reviews of Local Plans. </w:t>
      </w:r>
      <w:r w:rsidR="005E4EEB" w:rsidRPr="007C5718">
        <w:t xml:space="preserve">(See page 36 of The Suffolk County Transport Model (SCTM) – Preferred Option Traffic Forecasting Report (March 2018) </w:t>
      </w:r>
      <w:hyperlink r:id="rId9" w:history="1">
        <w:r w:rsidR="005E4EEB" w:rsidRPr="007C5718">
          <w:rPr>
            <w:rStyle w:val="Hyperlink"/>
          </w:rPr>
          <w:t>https://www.eastsuffolk.gov.uk/assets/Planning/Waveney-Local-Plan/Background-Studies/Suffolk-County-Council-Forecast-Highway-Modelling.pdf</w:t>
        </w:r>
      </w:hyperlink>
      <w:r w:rsidR="005E4EEB" w:rsidRPr="007C5718">
        <w:t>)</w:t>
      </w:r>
    </w:p>
    <w:p w14:paraId="21EA7401" w14:textId="4D46F245" w:rsidR="00C46C55" w:rsidRDefault="00C46C55" w:rsidP="00C46C55">
      <w:pPr>
        <w:spacing w:after="0" w:line="240" w:lineRule="auto"/>
      </w:pPr>
    </w:p>
    <w:p w14:paraId="35C91271" w14:textId="45B442C9" w:rsidR="00CD4EB5" w:rsidRDefault="00CD4EB5" w:rsidP="00C46C55">
      <w:pPr>
        <w:spacing w:after="0" w:line="240" w:lineRule="auto"/>
      </w:pPr>
      <w:r>
        <w:t>It may be of interest to</w:t>
      </w:r>
      <w:r w:rsidR="00630AF6">
        <w:t xml:space="preserve"> the</w:t>
      </w:r>
      <w:r>
        <w:t xml:space="preserve"> Greater Norwich Planning Policy Team to know that the </w:t>
      </w:r>
      <w:proofErr w:type="spellStart"/>
      <w:r>
        <w:t>Barnby</w:t>
      </w:r>
      <w:proofErr w:type="spellEnd"/>
      <w:r>
        <w:t xml:space="preserve"> Bends bypass Major Route Network improvement proposal has</w:t>
      </w:r>
      <w:r w:rsidR="00630AF6">
        <w:t xml:space="preserve"> progressed to the next stage with</w:t>
      </w:r>
      <w:r>
        <w:t xml:space="preserve"> funding to prepare an outline business case. </w:t>
      </w:r>
      <w:r w:rsidR="00630AF6">
        <w:t xml:space="preserve">Improvements to the </w:t>
      </w:r>
      <w:r>
        <w:t xml:space="preserve">section of the A146 </w:t>
      </w:r>
      <w:r w:rsidR="00630AF6">
        <w:t>near</w:t>
      </w:r>
      <w:r>
        <w:t xml:space="preserve"> </w:t>
      </w:r>
      <w:proofErr w:type="spellStart"/>
      <w:r>
        <w:t>Barnby</w:t>
      </w:r>
      <w:proofErr w:type="spellEnd"/>
      <w:r w:rsidR="00630AF6">
        <w:t>,</w:t>
      </w:r>
      <w:r>
        <w:t xml:space="preserve"> commonly known as the </w:t>
      </w:r>
      <w:proofErr w:type="spellStart"/>
      <w:r>
        <w:t>Barnby</w:t>
      </w:r>
      <w:proofErr w:type="spellEnd"/>
      <w:r>
        <w:t xml:space="preserve"> Bends</w:t>
      </w:r>
      <w:r w:rsidR="00630AF6">
        <w:t>, would benefit the whole A146 route between Lowestoft and Norwich, and the A143 link to Diss and Bury St Edmunds.</w:t>
      </w:r>
    </w:p>
    <w:p w14:paraId="779B3762" w14:textId="77777777" w:rsidR="00CD4EB5" w:rsidRPr="007C5718" w:rsidRDefault="00CD4EB5" w:rsidP="00C46C55">
      <w:pPr>
        <w:spacing w:after="0" w:line="240" w:lineRule="auto"/>
      </w:pPr>
    </w:p>
    <w:p w14:paraId="3A710F26" w14:textId="6E980047" w:rsidR="00C46C55" w:rsidRPr="007C5718" w:rsidRDefault="00C46C55" w:rsidP="00C46C55">
      <w:pPr>
        <w:spacing w:after="0" w:line="240" w:lineRule="auto"/>
      </w:pPr>
      <w:r w:rsidRPr="007C5718">
        <w:t xml:space="preserve">Paragraph 73. </w:t>
      </w:r>
      <w:r w:rsidR="00CF649C" w:rsidRPr="007C5718">
        <w:t xml:space="preserve">The </w:t>
      </w:r>
      <w:r w:rsidRPr="007C5718">
        <w:t xml:space="preserve">Norwich rail service </w:t>
      </w:r>
      <w:r w:rsidR="0016601C" w:rsidRPr="007C5718">
        <w:t>provide</w:t>
      </w:r>
      <w:r w:rsidR="009B3AC2">
        <w:t>s</w:t>
      </w:r>
      <w:r w:rsidR="00CF649C" w:rsidRPr="007C5718">
        <w:t xml:space="preserve"> direct</w:t>
      </w:r>
      <w:r w:rsidR="0016601C" w:rsidRPr="007C5718">
        <w:t xml:space="preserve"> access</w:t>
      </w:r>
      <w:r w:rsidR="00CF649C" w:rsidRPr="007C5718">
        <w:t xml:space="preserve"> to </w:t>
      </w:r>
      <w:r w:rsidRPr="007C5718">
        <w:t>Lowestoft.</w:t>
      </w:r>
      <w:r w:rsidR="00CF649C" w:rsidRPr="007C5718">
        <w:t xml:space="preserve"> Please update the text to include Lowestoft </w:t>
      </w:r>
      <w:r w:rsidR="0016601C" w:rsidRPr="007C5718">
        <w:t xml:space="preserve">in the list of </w:t>
      </w:r>
      <w:r w:rsidR="008D427E" w:rsidRPr="007C5718">
        <w:t xml:space="preserve">rail </w:t>
      </w:r>
      <w:r w:rsidR="0016601C" w:rsidRPr="007C5718">
        <w:t>destinations a</w:t>
      </w:r>
      <w:r w:rsidR="00E362A8">
        <w:t>cc</w:t>
      </w:r>
      <w:r w:rsidR="0016601C" w:rsidRPr="007C5718">
        <w:t>essible from Norwich.</w:t>
      </w:r>
    </w:p>
    <w:p w14:paraId="1E5EF4E8" w14:textId="582742DF" w:rsidR="00C46C55" w:rsidRPr="007C5718" w:rsidRDefault="00C46C55" w:rsidP="00C46C55">
      <w:pPr>
        <w:spacing w:after="0" w:line="240" w:lineRule="auto"/>
      </w:pPr>
    </w:p>
    <w:p w14:paraId="753D430B" w14:textId="3B31E2C6" w:rsidR="0016601C" w:rsidRDefault="0016601C" w:rsidP="00C46C55">
      <w:pPr>
        <w:spacing w:after="0" w:line="240" w:lineRule="auto"/>
        <w:rPr>
          <w:b/>
          <w:bCs/>
        </w:rPr>
      </w:pPr>
      <w:r w:rsidRPr="007C5718">
        <w:rPr>
          <w:b/>
          <w:bCs/>
        </w:rPr>
        <w:t xml:space="preserve">Section 3 – The Vision and Objective for Greater Norwich </w:t>
      </w:r>
    </w:p>
    <w:p w14:paraId="03D59642" w14:textId="67A4170B" w:rsidR="009B3AC2" w:rsidRDefault="009B3AC2" w:rsidP="00C46C55">
      <w:pPr>
        <w:spacing w:after="0" w:line="240" w:lineRule="auto"/>
        <w:rPr>
          <w:b/>
          <w:bCs/>
        </w:rPr>
      </w:pPr>
      <w:r w:rsidRPr="009B3AC2">
        <w:t>Paragraph 10</w:t>
      </w:r>
      <w:r>
        <w:t>8</w:t>
      </w:r>
      <w:r w:rsidR="00815109">
        <w:t>.</w:t>
      </w:r>
      <w:r w:rsidRPr="009B3AC2">
        <w:t xml:space="preserve"> </w:t>
      </w:r>
      <w:r>
        <w:t>T</w:t>
      </w:r>
      <w:r w:rsidRPr="009B3AC2">
        <w:rPr>
          <w:rFonts w:ascii="Calibri" w:eastAsia="MS Mincho" w:hAnsi="Calibri"/>
          <w:lang w:val="en-US"/>
        </w:rPr>
        <w:t>he</w:t>
      </w:r>
      <w:r w:rsidRPr="007C5718">
        <w:rPr>
          <w:rFonts w:ascii="Calibri" w:eastAsia="MS Mincho" w:hAnsi="Calibri"/>
          <w:bCs/>
          <w:lang w:val="en-US"/>
        </w:rPr>
        <w:t xml:space="preserve"> Council supports the </w:t>
      </w:r>
      <w:r>
        <w:rPr>
          <w:rFonts w:ascii="Calibri" w:eastAsia="MS Mincho" w:hAnsi="Calibri"/>
          <w:bCs/>
          <w:lang w:val="en-US"/>
        </w:rPr>
        <w:t xml:space="preserve">overall </w:t>
      </w:r>
      <w:r w:rsidRPr="007C5718">
        <w:rPr>
          <w:rFonts w:ascii="Calibri" w:eastAsia="MS Mincho" w:hAnsi="Calibri"/>
          <w:bCs/>
          <w:lang w:val="en-US"/>
        </w:rPr>
        <w:t xml:space="preserve">vision </w:t>
      </w:r>
      <w:r>
        <w:rPr>
          <w:rFonts w:ascii="Calibri" w:eastAsia="MS Mincho" w:hAnsi="Calibri"/>
          <w:bCs/>
          <w:lang w:val="en-US"/>
        </w:rPr>
        <w:t xml:space="preserve">and objectives </w:t>
      </w:r>
      <w:r w:rsidRPr="007C5718">
        <w:rPr>
          <w:rFonts w:ascii="Calibri" w:eastAsia="MS Mincho" w:hAnsi="Calibri"/>
          <w:bCs/>
          <w:lang w:val="en-US"/>
        </w:rPr>
        <w:t xml:space="preserve">of the </w:t>
      </w:r>
      <w:r>
        <w:rPr>
          <w:rFonts w:ascii="Calibri" w:eastAsia="MS Mincho" w:hAnsi="Calibri"/>
          <w:bCs/>
          <w:lang w:val="en-US"/>
        </w:rPr>
        <w:t xml:space="preserve">Greater Norwich </w:t>
      </w:r>
      <w:r w:rsidRPr="007C5718">
        <w:rPr>
          <w:rFonts w:ascii="Calibri" w:eastAsia="MS Mincho" w:hAnsi="Calibri"/>
          <w:bCs/>
          <w:lang w:val="en-US"/>
        </w:rPr>
        <w:t>Local Plan</w:t>
      </w:r>
      <w:r>
        <w:rPr>
          <w:rFonts w:ascii="Calibri" w:eastAsia="MS Mincho" w:hAnsi="Calibri"/>
          <w:bCs/>
          <w:lang w:val="en-US"/>
        </w:rPr>
        <w:t>.</w:t>
      </w:r>
    </w:p>
    <w:p w14:paraId="678FE76F" w14:textId="77777777" w:rsidR="009B3AC2" w:rsidRPr="007C5718" w:rsidRDefault="009B3AC2" w:rsidP="00C46C55">
      <w:pPr>
        <w:spacing w:after="0" w:line="240" w:lineRule="auto"/>
        <w:rPr>
          <w:b/>
          <w:bCs/>
        </w:rPr>
      </w:pPr>
    </w:p>
    <w:p w14:paraId="3BE6226D" w14:textId="07E69661" w:rsidR="00C46C55" w:rsidRPr="007C5718" w:rsidRDefault="00C46C55" w:rsidP="00C46C55">
      <w:pPr>
        <w:spacing w:after="0" w:line="240" w:lineRule="auto"/>
      </w:pPr>
      <w:r w:rsidRPr="007C5718">
        <w:t>Paragraph 111</w:t>
      </w:r>
      <w:r w:rsidR="0028675D" w:rsidRPr="007C5718">
        <w:t xml:space="preserve"> would benefit from explaining what the term ‘clean growth’ means</w:t>
      </w:r>
      <w:r w:rsidR="00B676BD" w:rsidRPr="007C5718">
        <w:t>. The terms ‘clean growth</w:t>
      </w:r>
      <w:r w:rsidR="00E362A8">
        <w:t>’</w:t>
      </w:r>
      <w:r w:rsidR="00B676BD" w:rsidRPr="007C5718">
        <w:t>, ‘clean transport’, ‘clean pubic transport’, ‘clean energy’ and ‘clean water’ are used</w:t>
      </w:r>
      <w:r w:rsidR="0028675D" w:rsidRPr="007C5718">
        <w:t xml:space="preserve"> </w:t>
      </w:r>
      <w:r w:rsidR="00B676BD" w:rsidRPr="007C5718">
        <w:t>through the document without explanation. It should not be</w:t>
      </w:r>
      <w:r w:rsidR="0028675D" w:rsidRPr="007C5718">
        <w:t xml:space="preserve"> assum</w:t>
      </w:r>
      <w:r w:rsidR="00B676BD" w:rsidRPr="007C5718">
        <w:t>ed</w:t>
      </w:r>
      <w:r w:rsidR="0028675D" w:rsidRPr="007C5718">
        <w:t xml:space="preserve"> the audience is already familiar with </w:t>
      </w:r>
      <w:r w:rsidR="00B676BD" w:rsidRPr="007C5718">
        <w:t>specific</w:t>
      </w:r>
      <w:r w:rsidR="0028675D" w:rsidRPr="007C5718">
        <w:t xml:space="preserve"> terms and jargon.</w:t>
      </w:r>
      <w:r w:rsidR="00B676BD" w:rsidRPr="007C5718">
        <w:t xml:space="preserve"> The terms should be explained in the text or included in the glossary in Appendix 2.</w:t>
      </w:r>
    </w:p>
    <w:p w14:paraId="06C387A4" w14:textId="3D059850" w:rsidR="00C46C55" w:rsidRPr="007C5718" w:rsidRDefault="00C46C55" w:rsidP="00C46C55">
      <w:pPr>
        <w:spacing w:after="0" w:line="240" w:lineRule="auto"/>
      </w:pPr>
    </w:p>
    <w:p w14:paraId="1AB1041D" w14:textId="5C5385E2" w:rsidR="008D427E" w:rsidRPr="007C5718" w:rsidRDefault="007A2EBB" w:rsidP="00C46C55">
      <w:pPr>
        <w:spacing w:after="0" w:line="240" w:lineRule="auto"/>
        <w:rPr>
          <w:b/>
          <w:bCs/>
        </w:rPr>
      </w:pPr>
      <w:r w:rsidRPr="007C5718">
        <w:rPr>
          <w:b/>
          <w:bCs/>
        </w:rPr>
        <w:t>Policy 1 – The Sustainable Growth Strategy</w:t>
      </w:r>
    </w:p>
    <w:p w14:paraId="0B44214C" w14:textId="0ABDC50D" w:rsidR="007A2EBB" w:rsidRPr="007C5718" w:rsidRDefault="007A2EBB" w:rsidP="00C46C55">
      <w:pPr>
        <w:spacing w:after="0" w:line="240" w:lineRule="auto"/>
      </w:pPr>
      <w:r w:rsidRPr="007C5718">
        <w:t xml:space="preserve">We support the Greater Norwich Local Plan’s preferred option to support growth, </w:t>
      </w:r>
      <w:r w:rsidR="00200C2E" w:rsidRPr="007C5718">
        <w:t xml:space="preserve">including the </w:t>
      </w:r>
      <w:r w:rsidRPr="007C5718">
        <w:t>use of the Government’s standard methodology for a</w:t>
      </w:r>
      <w:r w:rsidR="00815109">
        <w:t>ss</w:t>
      </w:r>
      <w:r w:rsidRPr="007C5718">
        <w:t xml:space="preserve">essing housing </w:t>
      </w:r>
      <w:r w:rsidR="00200C2E" w:rsidRPr="007C5718">
        <w:t>numbers and delivery,</w:t>
      </w:r>
      <w:r w:rsidRPr="007C5718">
        <w:t xml:space="preserve"> use of </w:t>
      </w:r>
      <w:r w:rsidR="00200C2E" w:rsidRPr="007C5718">
        <w:t xml:space="preserve">a </w:t>
      </w:r>
      <w:r w:rsidRPr="007C5718">
        <w:t>settlement hierarchy</w:t>
      </w:r>
      <w:r w:rsidR="00200C2E" w:rsidRPr="007C5718">
        <w:t>, and approach to the economy</w:t>
      </w:r>
      <w:r w:rsidRPr="007C5718">
        <w:t xml:space="preserve">. We are pleased the strategy for growth </w:t>
      </w:r>
      <w:r w:rsidR="00200C2E" w:rsidRPr="007C5718">
        <w:t>can</w:t>
      </w:r>
      <w:r w:rsidRPr="007C5718">
        <w:t xml:space="preserve"> me</w:t>
      </w:r>
      <w:r w:rsidR="00077208" w:rsidRPr="007C5718">
        <w:t>e</w:t>
      </w:r>
      <w:r w:rsidRPr="007C5718">
        <w:t xml:space="preserve">t the area’s need for housing, including a buffer, and need for employment land.   </w:t>
      </w:r>
    </w:p>
    <w:p w14:paraId="38DEBCDF" w14:textId="098FA2AD" w:rsidR="007A2EBB" w:rsidRPr="007C5718" w:rsidRDefault="007A2EBB" w:rsidP="00C46C55">
      <w:pPr>
        <w:spacing w:after="0" w:line="240" w:lineRule="auto"/>
      </w:pPr>
    </w:p>
    <w:p w14:paraId="66606FE8" w14:textId="40C0E0E6" w:rsidR="00200C2E" w:rsidRPr="007C5718" w:rsidRDefault="00200C2E" w:rsidP="00C46C55">
      <w:pPr>
        <w:spacing w:after="0" w:line="240" w:lineRule="auto"/>
        <w:rPr>
          <w:b/>
          <w:bCs/>
        </w:rPr>
      </w:pPr>
      <w:r w:rsidRPr="007C5718">
        <w:rPr>
          <w:b/>
          <w:bCs/>
        </w:rPr>
        <w:t>Policy 2 – Sustainable Communities</w:t>
      </w:r>
    </w:p>
    <w:p w14:paraId="09D4D749" w14:textId="651C32CA" w:rsidR="00BF4701" w:rsidRPr="007C5718" w:rsidRDefault="00BF4701" w:rsidP="00C46C55">
      <w:pPr>
        <w:spacing w:after="0" w:line="240" w:lineRule="auto"/>
      </w:pPr>
      <w:r w:rsidRPr="007C5718">
        <w:t xml:space="preserve">Issue No.2 in </w:t>
      </w:r>
      <w:r w:rsidR="00200C2E" w:rsidRPr="007C5718">
        <w:t xml:space="preserve">Table 8 </w:t>
      </w:r>
      <w:r w:rsidRPr="007C5718">
        <w:t xml:space="preserve">would benefit from more specific and detailed information to facilitate electric and low-emission vehicles and their ancillary infrastructure needs. Developers should be encouraged to provide electric charging points for dwellings with on-plot parking spaces, and to provide ducting and electricity supply to communal </w:t>
      </w:r>
      <w:r w:rsidR="00D9163E" w:rsidRPr="007C5718">
        <w:t xml:space="preserve">and public </w:t>
      </w:r>
      <w:r w:rsidRPr="007C5718">
        <w:t xml:space="preserve">parking spaces to enable future installation of charging points. </w:t>
      </w:r>
      <w:r w:rsidR="00815109">
        <w:t xml:space="preserve">This would complement policies for East Suffolk (contained in the adopted Waveney Local Plan and the emerging Suffolk Coastal Local Plan) on facilities for electric charging points, by enhancing provision in the wider network. </w:t>
      </w:r>
    </w:p>
    <w:p w14:paraId="7495603D" w14:textId="007B7D41" w:rsidR="00200C2E" w:rsidRPr="007C5718" w:rsidRDefault="00200C2E" w:rsidP="00C46C55">
      <w:pPr>
        <w:spacing w:after="0" w:line="240" w:lineRule="auto"/>
      </w:pPr>
    </w:p>
    <w:p w14:paraId="1C80DE36" w14:textId="75CAAAC2" w:rsidR="004E1E84" w:rsidRPr="007C5718" w:rsidRDefault="009C1B58" w:rsidP="00C46C55">
      <w:pPr>
        <w:spacing w:after="0" w:line="240" w:lineRule="auto"/>
      </w:pPr>
      <w:r w:rsidRPr="007C5718">
        <w:t xml:space="preserve">A Housing Design Audit for England by Place Alliance (see </w:t>
      </w:r>
      <w:hyperlink r:id="rId10" w:history="1">
        <w:r w:rsidRPr="007C5718">
          <w:rPr>
            <w:rStyle w:val="Hyperlink"/>
          </w:rPr>
          <w:t>http://placealliance.org.uk/research/national-housing-audit/</w:t>
        </w:r>
      </w:hyperlink>
      <w:r w:rsidRPr="007C5718">
        <w:t>) found that lower building densities on projects</w:t>
      </w:r>
      <w:r w:rsidR="002B4165" w:rsidRPr="007C5718">
        <w:t xml:space="preserve"> away from the urban core scored poorly in design</w:t>
      </w:r>
      <w:r w:rsidR="009B3AC2">
        <w:t xml:space="preserve"> and t</w:t>
      </w:r>
      <w:r w:rsidR="002B4165" w:rsidRPr="007C5718">
        <w:t xml:space="preserve">here were clear benefits to designing at higher densities with the best schemes averaging 56 dwellings per hectare. </w:t>
      </w:r>
      <w:r w:rsidR="009B3AC2">
        <w:t>This research may be of interest regarding the</w:t>
      </w:r>
      <w:r w:rsidR="002B4165" w:rsidRPr="007C5718">
        <w:t xml:space="preserve"> minimum densities </w:t>
      </w:r>
      <w:r w:rsidR="00D013B4" w:rsidRPr="007C5718">
        <w:t xml:space="preserve">specified </w:t>
      </w:r>
      <w:r w:rsidR="002B4165" w:rsidRPr="007C5718">
        <w:t>in point 4 of the policy.</w:t>
      </w:r>
    </w:p>
    <w:p w14:paraId="334C8F6C" w14:textId="77777777" w:rsidR="004E1E84" w:rsidRPr="007C5718" w:rsidRDefault="004E1E84" w:rsidP="00C46C55">
      <w:pPr>
        <w:spacing w:after="0" w:line="240" w:lineRule="auto"/>
      </w:pPr>
    </w:p>
    <w:p w14:paraId="701B825F" w14:textId="44556AA7" w:rsidR="00D9163E" w:rsidRPr="007C5718" w:rsidRDefault="00D9163E" w:rsidP="00C46C55">
      <w:pPr>
        <w:spacing w:after="0" w:line="240" w:lineRule="auto"/>
      </w:pPr>
      <w:r w:rsidRPr="007C5718">
        <w:t xml:space="preserve">The Royal Town Planning Institute has produced detailed guidance on how developments can be designed to support people with dementia by creating familiar, legible, </w:t>
      </w:r>
      <w:r w:rsidR="00285CEE" w:rsidRPr="007C5718">
        <w:t>distinctive</w:t>
      </w:r>
      <w:r w:rsidRPr="007C5718">
        <w:t>, accessible, comfortable and safe environ</w:t>
      </w:r>
      <w:r w:rsidR="00285CEE" w:rsidRPr="007C5718">
        <w:t xml:space="preserve">ments. The application of dementia friendly design principles </w:t>
      </w:r>
      <w:r w:rsidR="004E1E84" w:rsidRPr="007C5718">
        <w:t xml:space="preserve">is considered to </w:t>
      </w:r>
      <w:r w:rsidR="00285CEE" w:rsidRPr="007C5718">
        <w:t>result in a higher quality environment for</w:t>
      </w:r>
      <w:r w:rsidR="004E1E84" w:rsidRPr="007C5718">
        <w:t xml:space="preserve"> all users</w:t>
      </w:r>
      <w:r w:rsidR="00285CEE" w:rsidRPr="007C5718">
        <w:t>. Considering the aging population in the Greater Norwich area</w:t>
      </w:r>
      <w:r w:rsidR="00815109">
        <w:t xml:space="preserve">, and the surrounding area, </w:t>
      </w:r>
      <w:r w:rsidR="00285CEE" w:rsidRPr="007C5718">
        <w:t xml:space="preserve">and rise in dementia, it is advisable to incorporate dementia friendly design principle where appropriate, especially </w:t>
      </w:r>
      <w:r w:rsidR="007C5718">
        <w:t>i</w:t>
      </w:r>
      <w:r w:rsidR="00285CEE" w:rsidRPr="007C5718">
        <w:t xml:space="preserve">n larger housing developments. (See </w:t>
      </w:r>
      <w:hyperlink r:id="rId11" w:history="1">
        <w:r w:rsidR="00285CEE" w:rsidRPr="007C5718">
          <w:rPr>
            <w:rStyle w:val="Hyperlink"/>
          </w:rPr>
          <w:t>https://www.rtpi.org.uk/media/1312/dementiatownplanning-practiceadvice2017.pdf</w:t>
        </w:r>
      </w:hyperlink>
      <w:r w:rsidR="00285CEE" w:rsidRPr="007C5718">
        <w:t>) Issue No.7 in Table 8 would benefit from specifically referencing dementia friendly design principles.</w:t>
      </w:r>
      <w:r w:rsidR="00815109">
        <w:t xml:space="preserve"> This would complement the policies in the adopted Waveney Local Plan and the emerging Suffolk Coastal Local Plan. </w:t>
      </w:r>
    </w:p>
    <w:p w14:paraId="591E5E1A" w14:textId="3766E807" w:rsidR="00285CEE" w:rsidRPr="007C5718" w:rsidRDefault="00285CEE" w:rsidP="00C46C55">
      <w:pPr>
        <w:spacing w:after="0" w:line="240" w:lineRule="auto"/>
      </w:pPr>
    </w:p>
    <w:p w14:paraId="01E026D2" w14:textId="34EF5862" w:rsidR="002B4165" w:rsidRPr="007C5718" w:rsidRDefault="002B4165" w:rsidP="00C46C55">
      <w:pPr>
        <w:spacing w:after="0" w:line="240" w:lineRule="auto"/>
      </w:pPr>
      <w:r w:rsidRPr="007C5718">
        <w:t>Overall</w:t>
      </w:r>
      <w:r w:rsidR="00D013B4" w:rsidRPr="007C5718">
        <w:t>,</w:t>
      </w:r>
      <w:r w:rsidRPr="007C5718">
        <w:t xml:space="preserve"> we support </w:t>
      </w:r>
      <w:r w:rsidR="00E362A8">
        <w:t xml:space="preserve">the </w:t>
      </w:r>
      <w:r w:rsidRPr="007C5718">
        <w:t xml:space="preserve">approach of the sustainable </w:t>
      </w:r>
      <w:proofErr w:type="gramStart"/>
      <w:r w:rsidRPr="007C5718">
        <w:t>communities</w:t>
      </w:r>
      <w:proofErr w:type="gramEnd"/>
      <w:r w:rsidRPr="007C5718">
        <w:t xml:space="preserve"> policy and requirement for a sustainability statement.</w:t>
      </w:r>
    </w:p>
    <w:p w14:paraId="67C5BB4B" w14:textId="27AF240F" w:rsidR="002B4165" w:rsidRPr="007C5718" w:rsidRDefault="002B4165" w:rsidP="00C46C55">
      <w:pPr>
        <w:spacing w:after="0" w:line="240" w:lineRule="auto"/>
      </w:pPr>
    </w:p>
    <w:p w14:paraId="050717F0" w14:textId="4018941F" w:rsidR="002B4165" w:rsidRPr="007C5718" w:rsidRDefault="002B4165" w:rsidP="00C46C55">
      <w:pPr>
        <w:spacing w:after="0" w:line="240" w:lineRule="auto"/>
        <w:rPr>
          <w:b/>
          <w:bCs/>
        </w:rPr>
      </w:pPr>
      <w:r w:rsidRPr="007C5718">
        <w:rPr>
          <w:b/>
          <w:bCs/>
        </w:rPr>
        <w:t>Policy 3 – Environmental Protection and Enhancement</w:t>
      </w:r>
    </w:p>
    <w:p w14:paraId="09F73B03" w14:textId="18BF719F" w:rsidR="002B4165" w:rsidRPr="007C5718" w:rsidRDefault="002B4165" w:rsidP="00C46C55">
      <w:pPr>
        <w:spacing w:after="0" w:line="240" w:lineRule="auto"/>
      </w:pPr>
      <w:r w:rsidRPr="007C5718">
        <w:t>We support the approach to the built and historic environment as it is in accordance with the NPPF.</w:t>
      </w:r>
    </w:p>
    <w:p w14:paraId="0376A95F" w14:textId="7A4C555C" w:rsidR="002B4165" w:rsidRPr="007C5718" w:rsidRDefault="002B4165" w:rsidP="00C46C55">
      <w:pPr>
        <w:spacing w:after="0" w:line="240" w:lineRule="auto"/>
      </w:pPr>
    </w:p>
    <w:p w14:paraId="5D739EEF" w14:textId="7A723B84" w:rsidR="002B4165" w:rsidRPr="007C5718" w:rsidRDefault="00D013B4" w:rsidP="00C46C55">
      <w:pPr>
        <w:spacing w:after="0" w:line="240" w:lineRule="auto"/>
        <w:rPr>
          <w:b/>
          <w:bCs/>
        </w:rPr>
      </w:pPr>
      <w:r w:rsidRPr="007C5718">
        <w:rPr>
          <w:b/>
          <w:bCs/>
        </w:rPr>
        <w:t>Policy 4 – Strategic Infrastructure</w:t>
      </w:r>
    </w:p>
    <w:p w14:paraId="4A2A99CB" w14:textId="05D3BDAF" w:rsidR="00D013B4" w:rsidRPr="007C5718" w:rsidRDefault="00D013B4" w:rsidP="00C46C55">
      <w:pPr>
        <w:spacing w:after="0" w:line="240" w:lineRule="auto"/>
      </w:pPr>
      <w:r w:rsidRPr="007C5718">
        <w:t xml:space="preserve">We support the approach </w:t>
      </w:r>
      <w:r w:rsidR="00A427E2" w:rsidRPr="007C5718">
        <w:t>in</w:t>
      </w:r>
      <w:r w:rsidRPr="007C5718">
        <w:t xml:space="preserve"> the Strategic Infrastructure policy.</w:t>
      </w:r>
    </w:p>
    <w:p w14:paraId="57BED6E0" w14:textId="4F462E89" w:rsidR="00D013B4" w:rsidRPr="007C5718" w:rsidRDefault="00D013B4" w:rsidP="00C46C55">
      <w:pPr>
        <w:spacing w:after="0" w:line="240" w:lineRule="auto"/>
      </w:pPr>
    </w:p>
    <w:p w14:paraId="52740B78" w14:textId="0F4D941F" w:rsidR="00D013B4" w:rsidRPr="007C5718" w:rsidRDefault="00D013B4" w:rsidP="00C46C55">
      <w:pPr>
        <w:spacing w:after="0" w:line="240" w:lineRule="auto"/>
        <w:rPr>
          <w:b/>
          <w:bCs/>
        </w:rPr>
      </w:pPr>
      <w:r w:rsidRPr="007C5718">
        <w:rPr>
          <w:b/>
          <w:bCs/>
        </w:rPr>
        <w:t>Policy 5 – Homes</w:t>
      </w:r>
    </w:p>
    <w:p w14:paraId="2A1649AF" w14:textId="4F94A0A6" w:rsidR="00A427E2" w:rsidRPr="007C5718" w:rsidRDefault="00A427E2" w:rsidP="00A427E2">
      <w:pPr>
        <w:spacing w:after="0" w:line="240" w:lineRule="auto"/>
      </w:pPr>
      <w:r w:rsidRPr="007C5718">
        <w:t xml:space="preserve">We </w:t>
      </w:r>
      <w:r w:rsidR="00077208" w:rsidRPr="007C5718">
        <w:t xml:space="preserve">are </w:t>
      </w:r>
      <w:r w:rsidRPr="007C5718">
        <w:t xml:space="preserve">pleased that </w:t>
      </w:r>
      <w:r w:rsidR="00E362A8">
        <w:t xml:space="preserve">the </w:t>
      </w:r>
      <w:r w:rsidRPr="007C5718">
        <w:t xml:space="preserve">Greater Norwich area can meet </w:t>
      </w:r>
      <w:r w:rsidR="00217D17" w:rsidRPr="007C5718">
        <w:t xml:space="preserve">the </w:t>
      </w:r>
      <w:r w:rsidRPr="007C5718">
        <w:t>housing need, including a buffer, as identified using the Government’s standard methodology, and support the approach in the Homes policy.</w:t>
      </w:r>
    </w:p>
    <w:p w14:paraId="32BB414A" w14:textId="77777777" w:rsidR="00D013B4" w:rsidRPr="007C5718" w:rsidRDefault="00D013B4" w:rsidP="00C46C55">
      <w:pPr>
        <w:spacing w:after="0" w:line="240" w:lineRule="auto"/>
      </w:pPr>
    </w:p>
    <w:p w14:paraId="57E00329" w14:textId="4EA3F2B7" w:rsidR="002B4165" w:rsidRPr="007C5718" w:rsidRDefault="00A427E2" w:rsidP="00C46C55">
      <w:pPr>
        <w:spacing w:after="0" w:line="240" w:lineRule="auto"/>
        <w:rPr>
          <w:b/>
          <w:bCs/>
        </w:rPr>
      </w:pPr>
      <w:r w:rsidRPr="007C5718">
        <w:rPr>
          <w:b/>
          <w:bCs/>
        </w:rPr>
        <w:t>Policy 6 – The Economy</w:t>
      </w:r>
    </w:p>
    <w:p w14:paraId="1254D6A0" w14:textId="73B26B9D" w:rsidR="00217D17" w:rsidRPr="007C5718" w:rsidRDefault="00217D17" w:rsidP="00217D17">
      <w:pPr>
        <w:spacing w:after="0" w:line="240" w:lineRule="auto"/>
      </w:pPr>
      <w:r w:rsidRPr="007C5718">
        <w:t>We support the approach in The Economy policy.</w:t>
      </w:r>
    </w:p>
    <w:p w14:paraId="2094852D" w14:textId="77777777" w:rsidR="00A427E2" w:rsidRPr="007C5718" w:rsidRDefault="00A427E2" w:rsidP="00C46C55">
      <w:pPr>
        <w:spacing w:after="0" w:line="240" w:lineRule="auto"/>
      </w:pPr>
    </w:p>
    <w:p w14:paraId="62C548FB" w14:textId="0DF95D0D" w:rsidR="002B4165" w:rsidRPr="007C5718" w:rsidRDefault="00217D17" w:rsidP="00C46C55">
      <w:pPr>
        <w:spacing w:after="0" w:line="240" w:lineRule="auto"/>
        <w:rPr>
          <w:b/>
          <w:bCs/>
        </w:rPr>
      </w:pPr>
      <w:r w:rsidRPr="007C5718">
        <w:rPr>
          <w:b/>
          <w:bCs/>
        </w:rPr>
        <w:t>Policy 7.1 – The Norwich Urban Area including the fringe parishes</w:t>
      </w:r>
    </w:p>
    <w:p w14:paraId="0DB04D2A" w14:textId="11C5B7F4" w:rsidR="00A031B4" w:rsidRPr="007C5718" w:rsidRDefault="00A031B4" w:rsidP="00A031B4">
      <w:pPr>
        <w:spacing w:after="0" w:line="240" w:lineRule="auto"/>
      </w:pPr>
      <w:r w:rsidRPr="007C5718">
        <w:t>We support the approach in The Norwich Urban Area policy.</w:t>
      </w:r>
    </w:p>
    <w:p w14:paraId="32738288" w14:textId="77777777" w:rsidR="00217D17" w:rsidRPr="007C5718" w:rsidRDefault="00217D17" w:rsidP="00C46C55">
      <w:pPr>
        <w:spacing w:after="0" w:line="240" w:lineRule="auto"/>
      </w:pPr>
    </w:p>
    <w:p w14:paraId="48602525" w14:textId="157A2BCD" w:rsidR="00217D17" w:rsidRPr="007C5718" w:rsidRDefault="00A031B4" w:rsidP="00C46C55">
      <w:pPr>
        <w:spacing w:after="0" w:line="240" w:lineRule="auto"/>
      </w:pPr>
      <w:r w:rsidRPr="007C5718">
        <w:rPr>
          <w:b/>
          <w:bCs/>
        </w:rPr>
        <w:t>Policy 7.2 – The Main Towns</w:t>
      </w:r>
    </w:p>
    <w:p w14:paraId="2F5A4483" w14:textId="3D838470" w:rsidR="00A031B4" w:rsidRPr="007C5718" w:rsidRDefault="00A031B4" w:rsidP="00A031B4">
      <w:pPr>
        <w:spacing w:after="0" w:line="240" w:lineRule="auto"/>
      </w:pPr>
      <w:r w:rsidRPr="007C5718">
        <w:t>We support the approach in The Main Towns policy.</w:t>
      </w:r>
    </w:p>
    <w:p w14:paraId="1766E4C0" w14:textId="3503320D" w:rsidR="00217D17" w:rsidRPr="007C5718" w:rsidRDefault="00217D17" w:rsidP="00C46C55">
      <w:pPr>
        <w:spacing w:after="0" w:line="240" w:lineRule="auto"/>
      </w:pPr>
    </w:p>
    <w:p w14:paraId="55189B43" w14:textId="238B0986" w:rsidR="00A031B4" w:rsidRPr="007C5718" w:rsidRDefault="00A031B4" w:rsidP="00A031B4">
      <w:pPr>
        <w:spacing w:after="0" w:line="240" w:lineRule="auto"/>
      </w:pPr>
      <w:r w:rsidRPr="007C5718">
        <w:rPr>
          <w:b/>
          <w:bCs/>
        </w:rPr>
        <w:t>Policy 7.3 – The Key Service Centres</w:t>
      </w:r>
    </w:p>
    <w:p w14:paraId="2C09404B" w14:textId="4AD6F362" w:rsidR="00A031B4" w:rsidRPr="007C5718" w:rsidRDefault="00A031B4" w:rsidP="00A031B4">
      <w:pPr>
        <w:spacing w:after="0" w:line="240" w:lineRule="auto"/>
      </w:pPr>
      <w:r w:rsidRPr="007C5718">
        <w:t>We support the approach in The Key Service Centres policy.</w:t>
      </w:r>
    </w:p>
    <w:p w14:paraId="56A3FC1B" w14:textId="6C4E7EC6" w:rsidR="00A031B4" w:rsidRPr="007C5718" w:rsidRDefault="00A031B4" w:rsidP="00C46C55">
      <w:pPr>
        <w:spacing w:after="0" w:line="240" w:lineRule="auto"/>
      </w:pPr>
    </w:p>
    <w:p w14:paraId="4A8E1908" w14:textId="2A61D8CD" w:rsidR="00A031B4" w:rsidRPr="007C5718" w:rsidRDefault="00A031B4" w:rsidP="00A031B4">
      <w:pPr>
        <w:spacing w:after="0" w:line="240" w:lineRule="auto"/>
      </w:pPr>
      <w:r w:rsidRPr="007C5718">
        <w:rPr>
          <w:b/>
          <w:bCs/>
        </w:rPr>
        <w:t>Policy 7.4 – Village Clusters</w:t>
      </w:r>
    </w:p>
    <w:p w14:paraId="44326AB8" w14:textId="3CB37508" w:rsidR="00D32FC8" w:rsidRPr="007C5718" w:rsidRDefault="00D32FC8" w:rsidP="00A031B4">
      <w:pPr>
        <w:spacing w:after="0" w:line="240" w:lineRule="auto"/>
      </w:pPr>
      <w:r w:rsidRPr="007C5718">
        <w:t xml:space="preserve">The Waveney Local Plan identifies </w:t>
      </w:r>
      <w:r w:rsidR="0054594B" w:rsidRPr="007C5718">
        <w:t>Beccles</w:t>
      </w:r>
      <w:r w:rsidRPr="007C5718">
        <w:t xml:space="preserve"> and Bungay as two of the five Market Towns for housing growth in the former Waveney area. The total growth from homes built, existing commitments and allocations in the Waveney Local Plan for 2014-2036 are 1</w:t>
      </w:r>
      <w:r w:rsidR="00815109">
        <w:t>,</w:t>
      </w:r>
      <w:r w:rsidRPr="007C5718">
        <w:t xml:space="preserve">458 dwellings for Beccles and </w:t>
      </w:r>
      <w:proofErr w:type="spellStart"/>
      <w:r w:rsidRPr="007C5718">
        <w:t>Worlingham</w:t>
      </w:r>
      <w:proofErr w:type="spellEnd"/>
      <w:r w:rsidRPr="007C5718">
        <w:t xml:space="preserve"> and</w:t>
      </w:r>
      <w:r w:rsidR="0054594B" w:rsidRPr="007C5718">
        <w:t xml:space="preserve"> </w:t>
      </w:r>
      <w:r w:rsidRPr="007C5718">
        <w:t xml:space="preserve">557 dwellings for </w:t>
      </w:r>
      <w:r w:rsidR="0054594B" w:rsidRPr="007C5718">
        <w:t>Bungay</w:t>
      </w:r>
      <w:r w:rsidRPr="007C5718">
        <w:t>.</w:t>
      </w:r>
      <w:r w:rsidR="009974C3" w:rsidRPr="007C5718">
        <w:t xml:space="preserve"> </w:t>
      </w:r>
      <w:r w:rsidRPr="007C5718">
        <w:t xml:space="preserve">Both Beccles and Bungay boarder the South Norfolk/Greater Norwich area. </w:t>
      </w:r>
      <w:r w:rsidR="009974C3" w:rsidRPr="007C5718">
        <w:t>Any housing d</w:t>
      </w:r>
      <w:r w:rsidRPr="007C5718">
        <w:t xml:space="preserve">evelopment in villages close to the </w:t>
      </w:r>
      <w:r w:rsidR="009974C3" w:rsidRPr="007C5718">
        <w:t xml:space="preserve">former Waveney area is highly likely to impact </w:t>
      </w:r>
      <w:r w:rsidR="00153663" w:rsidRPr="007C5718">
        <w:t>high s</w:t>
      </w:r>
      <w:r w:rsidR="009974C3" w:rsidRPr="007C5718">
        <w:t xml:space="preserve">chools, </w:t>
      </w:r>
      <w:r w:rsidR="00153663" w:rsidRPr="007C5718">
        <w:t>m</w:t>
      </w:r>
      <w:r w:rsidR="009974C3" w:rsidRPr="007C5718">
        <w:t xml:space="preserve">edical </w:t>
      </w:r>
      <w:r w:rsidR="003271A9" w:rsidRPr="007C5718">
        <w:t>centres</w:t>
      </w:r>
      <w:r w:rsidR="009974C3" w:rsidRPr="007C5718">
        <w:t xml:space="preserve">, shops and other services and facilities in Beccles and Bungay. Housing development in the wider South Norfolk area is highly likely to impact traffic on the A146, which is </w:t>
      </w:r>
      <w:r w:rsidR="003271A9" w:rsidRPr="007C5718">
        <w:t>an important</w:t>
      </w:r>
      <w:r w:rsidR="009974C3" w:rsidRPr="007C5718">
        <w:t xml:space="preserve"> link between Lowestoft and Norwich.</w:t>
      </w:r>
      <w:r w:rsidR="003271A9" w:rsidRPr="007C5718">
        <w:t xml:space="preserve"> Junctions on the A146 close to Beccles will be close to capacity by the end of the Waveney Local Plan period in 2036.</w:t>
      </w:r>
    </w:p>
    <w:p w14:paraId="15F84F19" w14:textId="71FF251B" w:rsidR="000C62F4" w:rsidRPr="007C5718" w:rsidRDefault="000C62F4" w:rsidP="00A031B4">
      <w:pPr>
        <w:spacing w:after="0" w:line="240" w:lineRule="auto"/>
      </w:pPr>
    </w:p>
    <w:p w14:paraId="46A6D45F" w14:textId="584F862C" w:rsidR="00FC5C35" w:rsidRPr="007C5718" w:rsidRDefault="000C62F4" w:rsidP="00FC5C35">
      <w:pPr>
        <w:spacing w:after="0" w:line="240" w:lineRule="auto"/>
      </w:pPr>
      <w:r w:rsidRPr="007C5718">
        <w:t>The future allocation of 1</w:t>
      </w:r>
      <w:r w:rsidR="00815109">
        <w:t>,</w:t>
      </w:r>
      <w:r w:rsidRPr="007C5718">
        <w:t xml:space="preserve">200 new dwellings in village clusters in </w:t>
      </w:r>
      <w:r w:rsidR="00F601B0" w:rsidRPr="007C5718">
        <w:t xml:space="preserve">a </w:t>
      </w:r>
      <w:r w:rsidRPr="007C5718">
        <w:t>South Norfolk Village Clusters Housing Allocations Document should take into consideration the impact o</w:t>
      </w:r>
      <w:r w:rsidR="004C6742" w:rsidRPr="007C5718">
        <w:t>n</w:t>
      </w:r>
      <w:r w:rsidRPr="007C5718">
        <w:t xml:space="preserve"> services and facilities in East Suffolk and the overall combined impact of proposed development in South Norfolk and the former Waveney area</w:t>
      </w:r>
      <w:r w:rsidR="00172C1D" w:rsidRPr="007C5718">
        <w:t>s</w:t>
      </w:r>
      <w:r w:rsidRPr="007C5718">
        <w:t xml:space="preserve"> on the A146.  </w:t>
      </w:r>
      <w:r w:rsidR="00FC5C35" w:rsidRPr="007C5718">
        <w:t>The Council would wish to be notified of progress o</w:t>
      </w:r>
      <w:r w:rsidR="00E362A8">
        <w:t>n</w:t>
      </w:r>
      <w:r w:rsidR="00FC5C35" w:rsidRPr="007C5718">
        <w:t xml:space="preserve"> the South Norfolk Village Clusters Housing Allocations Document. </w:t>
      </w:r>
    </w:p>
    <w:p w14:paraId="48066842" w14:textId="77777777" w:rsidR="00FC5C35" w:rsidRPr="007C5718" w:rsidRDefault="00FC5C35" w:rsidP="00FC5C35">
      <w:pPr>
        <w:spacing w:after="0" w:line="240" w:lineRule="auto"/>
      </w:pPr>
    </w:p>
    <w:p w14:paraId="6A3647C1" w14:textId="092E15C9" w:rsidR="00FC5C35" w:rsidRPr="007C5718" w:rsidRDefault="00FC5C35" w:rsidP="00FC5C35">
      <w:pPr>
        <w:spacing w:after="0" w:line="240" w:lineRule="auto"/>
      </w:pPr>
      <w:r w:rsidRPr="007C5718">
        <w:t xml:space="preserve">We support the overall approach of allocating housing growth in villages to promote their social sustainability and support rural life and services. </w:t>
      </w:r>
    </w:p>
    <w:p w14:paraId="273AB246" w14:textId="3266EFAE" w:rsidR="00902CC4" w:rsidRPr="007C5718" w:rsidRDefault="00902CC4" w:rsidP="00902CC4">
      <w:pPr>
        <w:spacing w:after="0" w:line="240" w:lineRule="auto"/>
      </w:pPr>
    </w:p>
    <w:p w14:paraId="3205AE71" w14:textId="50435EDF" w:rsidR="00153663" w:rsidRPr="007C5718" w:rsidRDefault="00153663" w:rsidP="00902CC4">
      <w:pPr>
        <w:spacing w:after="0" w:line="240" w:lineRule="auto"/>
        <w:rPr>
          <w:b/>
          <w:bCs/>
        </w:rPr>
      </w:pPr>
      <w:r w:rsidRPr="007C5718">
        <w:rPr>
          <w:b/>
          <w:bCs/>
        </w:rPr>
        <w:t>Policy 7.5 – Small Scale Windfall Housing Development</w:t>
      </w:r>
    </w:p>
    <w:p w14:paraId="439B67EE" w14:textId="70AE2753" w:rsidR="00153663" w:rsidRPr="007C5718" w:rsidRDefault="00153663" w:rsidP="00902CC4">
      <w:pPr>
        <w:spacing w:after="0" w:line="240" w:lineRule="auto"/>
      </w:pPr>
      <w:r w:rsidRPr="007C5718">
        <w:t xml:space="preserve">We support the approach in the </w:t>
      </w:r>
      <w:proofErr w:type="gramStart"/>
      <w:r w:rsidRPr="007C5718">
        <w:t>Small Scale</w:t>
      </w:r>
      <w:proofErr w:type="gramEnd"/>
      <w:r w:rsidRPr="007C5718">
        <w:t xml:space="preserve"> Windfall Housing Development policy</w:t>
      </w:r>
    </w:p>
    <w:p w14:paraId="2B31BBC7" w14:textId="77777777" w:rsidR="00153663" w:rsidRPr="007C5718" w:rsidRDefault="00153663" w:rsidP="00902CC4">
      <w:pPr>
        <w:spacing w:after="0" w:line="240" w:lineRule="auto"/>
      </w:pPr>
    </w:p>
    <w:p w14:paraId="4BDF6445" w14:textId="4B8747C8" w:rsidR="00902CC4" w:rsidRPr="007C5718" w:rsidRDefault="00FC5C35" w:rsidP="00902CC4">
      <w:pPr>
        <w:spacing w:after="0" w:line="240" w:lineRule="auto"/>
      </w:pPr>
      <w:r w:rsidRPr="007C5718">
        <w:t>We trust our comments above are helpful but please do not hesitate to contact us should you require any clarification on the points raised.</w:t>
      </w:r>
    </w:p>
    <w:p w14:paraId="00207C82" w14:textId="77777777" w:rsidR="00902CC4" w:rsidRPr="007C5718" w:rsidRDefault="00902CC4" w:rsidP="00902CC4">
      <w:pPr>
        <w:spacing w:after="0" w:line="240" w:lineRule="auto"/>
        <w:rPr>
          <w:rFonts w:ascii="Calibri" w:eastAsia="MS Mincho" w:hAnsi="Calibri" w:cs="Arial"/>
          <w:bCs/>
          <w:color w:val="000000"/>
        </w:rPr>
      </w:pPr>
    </w:p>
    <w:p w14:paraId="4E99A78F" w14:textId="7DA67E56" w:rsidR="00802795" w:rsidRPr="007C5718" w:rsidRDefault="00802795" w:rsidP="003D22BD">
      <w:pPr>
        <w:widowControl w:val="0"/>
        <w:autoSpaceDE w:val="0"/>
        <w:autoSpaceDN w:val="0"/>
        <w:adjustRightInd w:val="0"/>
        <w:spacing w:after="57" w:line="240" w:lineRule="auto"/>
        <w:ind w:right="1559"/>
        <w:textAlignment w:val="center"/>
        <w:rPr>
          <w:rFonts w:ascii="Calibri" w:eastAsia="MS Mincho" w:hAnsi="Calibri" w:cs="Arial"/>
          <w:bCs/>
          <w:color w:val="000000"/>
        </w:rPr>
      </w:pPr>
      <w:r w:rsidRPr="007C5718">
        <w:rPr>
          <w:rFonts w:ascii="Calibri" w:eastAsia="MS Mincho" w:hAnsi="Calibri" w:cs="Arial"/>
          <w:bCs/>
          <w:color w:val="000000"/>
        </w:rPr>
        <w:t>Yours</w:t>
      </w:r>
      <w:r w:rsidR="00537345" w:rsidRPr="007C5718">
        <w:rPr>
          <w:rFonts w:ascii="Calibri" w:eastAsia="MS Mincho" w:hAnsi="Calibri" w:cs="Arial"/>
          <w:bCs/>
          <w:color w:val="000000"/>
        </w:rPr>
        <w:t xml:space="preserve"> </w:t>
      </w:r>
      <w:r w:rsidR="00FC5C35" w:rsidRPr="007C5718">
        <w:rPr>
          <w:rFonts w:ascii="Calibri" w:eastAsia="MS Mincho" w:hAnsi="Calibri" w:cs="Arial"/>
          <w:bCs/>
          <w:color w:val="000000"/>
        </w:rPr>
        <w:t>S</w:t>
      </w:r>
      <w:r w:rsidR="00077208" w:rsidRPr="007C5718">
        <w:rPr>
          <w:rFonts w:ascii="Calibri" w:eastAsia="MS Mincho" w:hAnsi="Calibri" w:cs="Arial"/>
          <w:bCs/>
          <w:color w:val="000000"/>
        </w:rPr>
        <w:t>incerely</w:t>
      </w:r>
    </w:p>
    <w:p w14:paraId="77BE0B36" w14:textId="77777777" w:rsidR="00802795" w:rsidRPr="007C5718" w:rsidRDefault="00802795" w:rsidP="003D22BD">
      <w:pPr>
        <w:widowControl w:val="0"/>
        <w:autoSpaceDE w:val="0"/>
        <w:autoSpaceDN w:val="0"/>
        <w:adjustRightInd w:val="0"/>
        <w:spacing w:after="57" w:line="240" w:lineRule="auto"/>
        <w:ind w:right="1559"/>
        <w:textAlignment w:val="center"/>
        <w:rPr>
          <w:rFonts w:ascii="Calibri" w:eastAsia="MS Mincho" w:hAnsi="Calibri" w:cs="Gotham-Bold"/>
          <w:b/>
          <w:bCs/>
          <w:noProof/>
          <w:color w:val="000000"/>
          <w:lang w:eastAsia="en-GB"/>
        </w:rPr>
      </w:pPr>
    </w:p>
    <w:p w14:paraId="50C116E5" w14:textId="77777777" w:rsidR="003D22BD" w:rsidRPr="007C5718" w:rsidRDefault="003D22BD" w:rsidP="003D22BD">
      <w:pPr>
        <w:widowControl w:val="0"/>
        <w:autoSpaceDE w:val="0"/>
        <w:autoSpaceDN w:val="0"/>
        <w:adjustRightInd w:val="0"/>
        <w:spacing w:after="57" w:line="240" w:lineRule="auto"/>
        <w:ind w:right="1559"/>
        <w:textAlignment w:val="center"/>
        <w:rPr>
          <w:rFonts w:ascii="Calibri" w:eastAsia="MS Mincho" w:hAnsi="Calibri" w:cs="Gotham-Bold"/>
          <w:b/>
          <w:bCs/>
          <w:noProof/>
          <w:color w:val="000000"/>
          <w:lang w:eastAsia="en-GB"/>
        </w:rPr>
      </w:pPr>
    </w:p>
    <w:p w14:paraId="1A9827D6" w14:textId="77777777" w:rsidR="00802795" w:rsidRPr="007C5718" w:rsidRDefault="00802795" w:rsidP="003D22BD">
      <w:pPr>
        <w:widowControl w:val="0"/>
        <w:autoSpaceDE w:val="0"/>
        <w:autoSpaceDN w:val="0"/>
        <w:adjustRightInd w:val="0"/>
        <w:spacing w:after="57" w:line="240" w:lineRule="auto"/>
        <w:ind w:right="1559"/>
        <w:textAlignment w:val="center"/>
        <w:rPr>
          <w:rFonts w:ascii="Calibri" w:eastAsia="MS Mincho" w:hAnsi="Calibri" w:cs="Arial"/>
          <w:bCs/>
          <w:color w:val="000000"/>
        </w:rPr>
      </w:pPr>
    </w:p>
    <w:p w14:paraId="5A3CEBA5" w14:textId="4FBF5354" w:rsidR="0070358B" w:rsidRPr="007C5718" w:rsidRDefault="00077208" w:rsidP="003D22BD">
      <w:pPr>
        <w:widowControl w:val="0"/>
        <w:autoSpaceDE w:val="0"/>
        <w:autoSpaceDN w:val="0"/>
        <w:adjustRightInd w:val="0"/>
        <w:spacing w:after="0" w:line="240" w:lineRule="auto"/>
        <w:ind w:right="1559"/>
        <w:textAlignment w:val="center"/>
        <w:rPr>
          <w:rFonts w:ascii="Calibri" w:eastAsia="MS Mincho" w:hAnsi="Calibri" w:cs="Arial-BoldMT"/>
          <w:b/>
          <w:bCs/>
          <w:color w:val="000000"/>
        </w:rPr>
      </w:pPr>
      <w:r w:rsidRPr="007C5718">
        <w:rPr>
          <w:rFonts w:ascii="Calibri" w:eastAsia="MS Mincho" w:hAnsi="Calibri" w:cs="Arial-BoldMT"/>
          <w:b/>
          <w:bCs/>
          <w:color w:val="000000"/>
        </w:rPr>
        <w:t>Ruth Bishop</w:t>
      </w:r>
      <w:r w:rsidR="0070358B" w:rsidRPr="007C5718">
        <w:rPr>
          <w:rFonts w:ascii="Calibri" w:eastAsia="MS Mincho" w:hAnsi="Calibri" w:cs="Arial-BoldMT"/>
          <w:b/>
          <w:bCs/>
          <w:color w:val="000000"/>
        </w:rPr>
        <w:t xml:space="preserve"> | </w:t>
      </w:r>
      <w:r w:rsidRPr="007C5718">
        <w:rPr>
          <w:rFonts w:ascii="Calibri" w:eastAsia="MS Mincho" w:hAnsi="Calibri" w:cs="Arial-BoldMT"/>
          <w:b/>
          <w:bCs/>
          <w:color w:val="000000"/>
        </w:rPr>
        <w:t>Senior Planning Policy and Delivery Officer</w:t>
      </w:r>
    </w:p>
    <w:p w14:paraId="6E290DE7" w14:textId="77777777" w:rsidR="00802795" w:rsidRPr="007C5718" w:rsidRDefault="00802795" w:rsidP="003D22BD">
      <w:pPr>
        <w:widowControl w:val="0"/>
        <w:autoSpaceDE w:val="0"/>
        <w:autoSpaceDN w:val="0"/>
        <w:adjustRightInd w:val="0"/>
        <w:spacing w:after="0" w:line="240" w:lineRule="auto"/>
        <w:ind w:right="1559"/>
        <w:textAlignment w:val="center"/>
        <w:rPr>
          <w:rFonts w:ascii="Calibri" w:eastAsia="MS Mincho" w:hAnsi="Calibri" w:cs="ArialMT"/>
          <w:color w:val="000000"/>
        </w:rPr>
      </w:pPr>
      <w:r w:rsidRPr="007C5718">
        <w:rPr>
          <w:rFonts w:ascii="Calibri" w:eastAsia="MS Mincho" w:hAnsi="Calibri" w:cs="ArialMT"/>
          <w:color w:val="000000"/>
        </w:rPr>
        <w:t>East Suffolk Council</w:t>
      </w:r>
    </w:p>
    <w:p w14:paraId="38074583" w14:textId="77777777" w:rsidR="00802795" w:rsidRPr="007C5718" w:rsidRDefault="00802795" w:rsidP="003D22BD">
      <w:pPr>
        <w:tabs>
          <w:tab w:val="left" w:pos="8220"/>
        </w:tabs>
        <w:spacing w:line="240" w:lineRule="auto"/>
      </w:pPr>
    </w:p>
    <w:sectPr w:rsidR="00802795" w:rsidRPr="007C5718" w:rsidSect="0070358B">
      <w:headerReference w:type="default" r:id="rId12"/>
      <w:headerReference w:type="first" r:id="rId13"/>
      <w:footerReference w:type="first" r:id="rId14"/>
      <w:pgSz w:w="11906" w:h="16838"/>
      <w:pgMar w:top="2835" w:right="1134" w:bottom="709" w:left="1134" w:header="567"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ED3D1" w14:textId="77777777" w:rsidR="00722EAB" w:rsidRDefault="00722EAB">
      <w:pPr>
        <w:spacing w:after="0" w:line="240" w:lineRule="auto"/>
      </w:pPr>
      <w:r>
        <w:separator/>
      </w:r>
    </w:p>
  </w:endnote>
  <w:endnote w:type="continuationSeparator" w:id="0">
    <w:p w14:paraId="562D1667" w14:textId="77777777" w:rsidR="00722EAB" w:rsidRDefault="00722E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Gotham-Bold">
    <w:charset w:val="00"/>
    <w:family w:val="auto"/>
    <w:pitch w:val="variable"/>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B1C97" w14:textId="77777777" w:rsidR="0070358B" w:rsidRPr="00041F31" w:rsidRDefault="0070358B" w:rsidP="003D22BD">
    <w:pPr>
      <w:widowControl w:val="0"/>
      <w:pBdr>
        <w:top w:val="single" w:sz="4" w:space="1" w:color="808080" w:themeColor="background1" w:themeShade="80"/>
      </w:pBdr>
      <w:autoSpaceDE w:val="0"/>
      <w:autoSpaceDN w:val="0"/>
      <w:adjustRightInd w:val="0"/>
      <w:spacing w:after="0" w:line="240" w:lineRule="auto"/>
      <w:textAlignment w:val="center"/>
      <w:rPr>
        <w:rFonts w:ascii="Calibri" w:eastAsia="MS Mincho" w:hAnsi="Calibri" w:cs="ArialMT"/>
        <w:color w:val="808080" w:themeColor="background1" w:themeShade="80"/>
        <w:sz w:val="24"/>
        <w:szCs w:val="24"/>
      </w:rPr>
    </w:pPr>
    <w:r w:rsidRPr="00041F31">
      <w:rPr>
        <w:rFonts w:ascii="Calibri" w:eastAsia="MS Mincho" w:hAnsi="Calibri" w:cs="Arial-BoldMT"/>
        <w:bCs/>
        <w:caps/>
        <w:color w:val="808080" w:themeColor="background1" w:themeShade="80"/>
        <w:sz w:val="24"/>
        <w:szCs w:val="24"/>
      </w:rPr>
      <w:t>LEGAL ADDRESS</w:t>
    </w:r>
    <w:r w:rsidRPr="00041F31">
      <w:rPr>
        <w:rFonts w:ascii="Calibri" w:eastAsia="MS Mincho" w:hAnsi="Calibri" w:cs="ArialMT"/>
        <w:color w:val="808080" w:themeColor="background1" w:themeShade="80"/>
        <w:sz w:val="24"/>
        <w:szCs w:val="24"/>
      </w:rPr>
      <w:t xml:space="preserve"> East Suffolk House, Station Road, Melton, Woodbridge IP12 1RT</w:t>
    </w:r>
  </w:p>
  <w:p w14:paraId="3FB4CF28" w14:textId="77777777" w:rsidR="0070358B" w:rsidRPr="00041F31" w:rsidRDefault="0070358B" w:rsidP="0070358B">
    <w:pPr>
      <w:widowControl w:val="0"/>
      <w:autoSpaceDE w:val="0"/>
      <w:autoSpaceDN w:val="0"/>
      <w:adjustRightInd w:val="0"/>
      <w:spacing w:after="0" w:line="240" w:lineRule="auto"/>
      <w:textAlignment w:val="center"/>
      <w:rPr>
        <w:rFonts w:ascii="Calibri" w:eastAsia="MS Mincho" w:hAnsi="Calibri" w:cs="ArialMT"/>
        <w:color w:val="808080" w:themeColor="background1" w:themeShade="80"/>
        <w:sz w:val="24"/>
        <w:szCs w:val="24"/>
      </w:rPr>
    </w:pPr>
    <w:r w:rsidRPr="00041F31">
      <w:rPr>
        <w:rFonts w:ascii="Calibri" w:eastAsia="MS Mincho" w:hAnsi="Calibri" w:cs="ArialMT"/>
        <w:color w:val="808080" w:themeColor="background1" w:themeShade="80"/>
        <w:sz w:val="24"/>
        <w:szCs w:val="24"/>
      </w:rPr>
      <w:t>DX: 41400 Woodbridge</w:t>
    </w:r>
  </w:p>
  <w:p w14:paraId="167C0694" w14:textId="77777777" w:rsidR="0070358B" w:rsidRPr="00041F31" w:rsidRDefault="0070358B" w:rsidP="0070358B">
    <w:pPr>
      <w:widowControl w:val="0"/>
      <w:autoSpaceDE w:val="0"/>
      <w:autoSpaceDN w:val="0"/>
      <w:adjustRightInd w:val="0"/>
      <w:spacing w:after="0" w:line="240" w:lineRule="auto"/>
      <w:textAlignment w:val="center"/>
      <w:rPr>
        <w:rFonts w:ascii="Calibri" w:eastAsia="MS Mincho" w:hAnsi="Calibri" w:cs="ArialMT"/>
        <w:color w:val="808080" w:themeColor="background1" w:themeShade="80"/>
        <w:sz w:val="24"/>
        <w:szCs w:val="24"/>
      </w:rPr>
    </w:pPr>
  </w:p>
  <w:p w14:paraId="2F151576" w14:textId="77777777" w:rsidR="0070358B" w:rsidRPr="00041F31" w:rsidRDefault="00896ADA" w:rsidP="0070358B">
    <w:pPr>
      <w:widowControl w:val="0"/>
      <w:autoSpaceDE w:val="0"/>
      <w:autoSpaceDN w:val="0"/>
      <w:adjustRightInd w:val="0"/>
      <w:spacing w:after="0" w:line="240" w:lineRule="auto"/>
      <w:textAlignment w:val="center"/>
      <w:rPr>
        <w:rFonts w:ascii="Calibri" w:eastAsia="MS Mincho" w:hAnsi="Calibri" w:cs="ArialMT"/>
        <w:b/>
        <w:color w:val="808080" w:themeColor="background1" w:themeShade="80"/>
        <w:sz w:val="24"/>
        <w:szCs w:val="24"/>
      </w:rPr>
    </w:pPr>
    <w:r>
      <w:rPr>
        <w:rFonts w:ascii="Calibri" w:eastAsia="MS Mincho" w:hAnsi="Calibri" w:cs="Arial-BoldMT"/>
        <w:bCs/>
        <w:caps/>
        <w:noProof/>
        <w:color w:val="808080" w:themeColor="background1" w:themeShade="80"/>
        <w:sz w:val="24"/>
        <w:szCs w:val="24"/>
      </w:rPr>
      <mc:AlternateContent>
        <mc:Choice Requires="wps">
          <w:drawing>
            <wp:anchor distT="0" distB="0" distL="114300" distR="114300" simplePos="0" relativeHeight="251657728" behindDoc="0" locked="0" layoutInCell="1" allowOverlap="1" wp14:anchorId="1C34321F" wp14:editId="1973A01D">
              <wp:simplePos x="0" y="0"/>
              <wp:positionH relativeFrom="column">
                <wp:posOffset>1823085</wp:posOffset>
              </wp:positionH>
              <wp:positionV relativeFrom="paragraph">
                <wp:posOffset>33654</wp:posOffset>
              </wp:positionV>
              <wp:extent cx="4991100" cy="771525"/>
              <wp:effectExtent l="0" t="0" r="19050" b="28575"/>
              <wp:wrapNone/>
              <wp:docPr id="3" name="Isosceles Triangle 3"/>
              <wp:cNvGraphicFramePr/>
              <a:graphic xmlns:a="http://schemas.openxmlformats.org/drawingml/2006/main">
                <a:graphicData uri="http://schemas.microsoft.com/office/word/2010/wordprocessingShape">
                  <wps:wsp>
                    <wps:cNvSpPr/>
                    <wps:spPr>
                      <a:xfrm>
                        <a:off x="0" y="0"/>
                        <a:ext cx="4991100" cy="771525"/>
                      </a:xfrm>
                      <a:prstGeom prst="triangle">
                        <a:avLst>
                          <a:gd name="adj" fmla="val 100000"/>
                        </a:avLst>
                      </a:prstGeom>
                      <a:solidFill>
                        <a:srgbClr val="8EC7CE"/>
                      </a:solidFill>
                      <a:ln>
                        <a:solidFill>
                          <a:srgbClr val="8EC7CE"/>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6A036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143.55pt;margin-top:2.65pt;width:393pt;height:6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" adj="21600" fillcolor="#8ec7ce" strokecolor="#8ec7ce" strokeweight="2pt"/>
          </w:pict>
        </mc:Fallback>
      </mc:AlternateContent>
    </w:r>
    <w:r w:rsidR="0070358B" w:rsidRPr="00041F31">
      <w:rPr>
        <w:rFonts w:ascii="Calibri" w:eastAsia="MS Mincho" w:hAnsi="Calibri" w:cs="Arial-BoldMT"/>
        <w:b/>
        <w:bCs/>
        <w:caps/>
        <w:color w:val="808080" w:themeColor="background1" w:themeShade="80"/>
        <w:sz w:val="24"/>
        <w:szCs w:val="24"/>
      </w:rPr>
      <w:t>Postal address</w:t>
    </w:r>
    <w:r w:rsidR="0070358B" w:rsidRPr="00041F31">
      <w:rPr>
        <w:rFonts w:ascii="Calibri" w:eastAsia="MS Mincho" w:hAnsi="Calibri" w:cs="ArialMT"/>
        <w:b/>
        <w:color w:val="808080" w:themeColor="background1" w:themeShade="80"/>
        <w:sz w:val="24"/>
        <w:szCs w:val="24"/>
      </w:rPr>
      <w:t xml:space="preserve"> Riverside, 4 Canning Road, Lowestoft NR33 0EQ</w:t>
    </w:r>
  </w:p>
  <w:p w14:paraId="56E52476" w14:textId="77777777" w:rsidR="0070358B" w:rsidRPr="00041F31" w:rsidRDefault="0070358B" w:rsidP="0070358B">
    <w:pPr>
      <w:widowControl w:val="0"/>
      <w:autoSpaceDE w:val="0"/>
      <w:autoSpaceDN w:val="0"/>
      <w:adjustRightInd w:val="0"/>
      <w:spacing w:after="0" w:line="240" w:lineRule="auto"/>
      <w:textAlignment w:val="center"/>
      <w:rPr>
        <w:rFonts w:ascii="Calibri" w:eastAsia="MS Mincho" w:hAnsi="Calibri" w:cs="ArialMT"/>
        <w:b/>
        <w:color w:val="808080" w:themeColor="background1" w:themeShade="80"/>
        <w:sz w:val="24"/>
        <w:szCs w:val="24"/>
      </w:rPr>
    </w:pPr>
    <w:r w:rsidRPr="00041F31">
      <w:rPr>
        <w:rFonts w:ascii="Calibri" w:eastAsia="MS Mincho" w:hAnsi="Calibri" w:cs="ArialMT"/>
        <w:b/>
        <w:color w:val="808080" w:themeColor="background1" w:themeShade="80"/>
        <w:sz w:val="24"/>
        <w:szCs w:val="24"/>
      </w:rPr>
      <w:t>DX: 41220 Lowestoft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D16460" w14:textId="77777777" w:rsidR="00722EAB" w:rsidRDefault="00722EAB">
      <w:pPr>
        <w:spacing w:after="0" w:line="240" w:lineRule="auto"/>
      </w:pPr>
      <w:r>
        <w:separator/>
      </w:r>
    </w:p>
  </w:footnote>
  <w:footnote w:type="continuationSeparator" w:id="0">
    <w:p w14:paraId="3C5C2EBE" w14:textId="77777777" w:rsidR="00722EAB" w:rsidRDefault="00722E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E9317" w14:textId="77777777" w:rsidR="00802795" w:rsidRDefault="00802795">
    <w:pPr>
      <w:pStyle w:val="Header"/>
      <w:tabs>
        <w:tab w:val="center" w:pos="4993"/>
      </w:tabs>
      <w:ind w:left="-1134" w:right="-914"/>
      <w:jc w:val="center"/>
    </w:pPr>
  </w:p>
  <w:p w14:paraId="369DBF1C" w14:textId="77777777" w:rsidR="00802795" w:rsidRDefault="00802795">
    <w:pPr>
      <w:pStyle w:val="Header"/>
      <w:tabs>
        <w:tab w:val="clear" w:pos="4513"/>
        <w:tab w:val="center" w:pos="496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1AD7D" w14:textId="77777777" w:rsidR="0070358B" w:rsidRDefault="00FF2958" w:rsidP="0070358B">
    <w:pPr>
      <w:pStyle w:val="Header"/>
      <w:jc w:val="center"/>
    </w:pPr>
    <w:r>
      <w:rPr>
        <w:noProof/>
        <w:lang w:eastAsia="en-GB"/>
      </w:rPr>
      <w:drawing>
        <wp:inline distT="0" distB="0" distL="0" distR="0" wp14:anchorId="068D85F2" wp14:editId="7E584AA2">
          <wp:extent cx="1590675" cy="12477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0675" cy="12477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C55"/>
    <w:rsid w:val="00041F31"/>
    <w:rsid w:val="00077208"/>
    <w:rsid w:val="000C62F4"/>
    <w:rsid w:val="00153663"/>
    <w:rsid w:val="0016601C"/>
    <w:rsid w:val="00172C1D"/>
    <w:rsid w:val="00200C2E"/>
    <w:rsid w:val="00217D17"/>
    <w:rsid w:val="00285CEE"/>
    <w:rsid w:val="0028675D"/>
    <w:rsid w:val="002B4165"/>
    <w:rsid w:val="003271A9"/>
    <w:rsid w:val="00371320"/>
    <w:rsid w:val="003A4D46"/>
    <w:rsid w:val="003D22BD"/>
    <w:rsid w:val="0042151B"/>
    <w:rsid w:val="004C6742"/>
    <w:rsid w:val="004E1E84"/>
    <w:rsid w:val="00537345"/>
    <w:rsid w:val="0054594B"/>
    <w:rsid w:val="005C4779"/>
    <w:rsid w:val="005D6AD4"/>
    <w:rsid w:val="005E4EEB"/>
    <w:rsid w:val="00630953"/>
    <w:rsid w:val="00630AF6"/>
    <w:rsid w:val="0070358B"/>
    <w:rsid w:val="00722EAB"/>
    <w:rsid w:val="007A2EBB"/>
    <w:rsid w:val="007B1A4A"/>
    <w:rsid w:val="007C5718"/>
    <w:rsid w:val="00802795"/>
    <w:rsid w:val="00815109"/>
    <w:rsid w:val="008668FC"/>
    <w:rsid w:val="00877D27"/>
    <w:rsid w:val="00896ADA"/>
    <w:rsid w:val="008D427E"/>
    <w:rsid w:val="00902CC4"/>
    <w:rsid w:val="009974C3"/>
    <w:rsid w:val="009B3AC2"/>
    <w:rsid w:val="009B53F1"/>
    <w:rsid w:val="009C1B58"/>
    <w:rsid w:val="009E33E0"/>
    <w:rsid w:val="009F38F6"/>
    <w:rsid w:val="00A031B4"/>
    <w:rsid w:val="00A427E2"/>
    <w:rsid w:val="00B52CC1"/>
    <w:rsid w:val="00B676BD"/>
    <w:rsid w:val="00BF4701"/>
    <w:rsid w:val="00C46C55"/>
    <w:rsid w:val="00CD4EB5"/>
    <w:rsid w:val="00CF649C"/>
    <w:rsid w:val="00D013B4"/>
    <w:rsid w:val="00D32FC8"/>
    <w:rsid w:val="00D9163E"/>
    <w:rsid w:val="00DE2F7D"/>
    <w:rsid w:val="00E17A2B"/>
    <w:rsid w:val="00E362A8"/>
    <w:rsid w:val="00F601B0"/>
    <w:rsid w:val="00F776EA"/>
    <w:rsid w:val="00FC5C35"/>
    <w:rsid w:val="00FD3313"/>
    <w:rsid w:val="00FF2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E0E169"/>
  <w14:defaultImageDpi w14:val="0"/>
  <w15:docId w15:val="{01299678-015D-469B-BA72-27218C30E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locked/>
    <w:rPr>
      <w:rFonts w:cs="Times New Roman"/>
    </w:rPr>
  </w:style>
  <w:style w:type="table" w:styleId="TableGrid">
    <w:name w:val="Table Grid"/>
    <w:basedOn w:val="TableNormal"/>
    <w:uiPriority w:val="59"/>
    <w:pPr>
      <w:spacing w:after="0" w:line="240" w:lineRule="auto"/>
    </w:pPr>
    <w:rPr>
      <w:rFonts w:eastAsia="MS Mincho"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BasicParagraph">
    <w:name w:val="[Basic Paragraph]"/>
    <w:basedOn w:val="Normal"/>
    <w:uiPriority w:val="99"/>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rPr>
  </w:style>
  <w:style w:type="character" w:styleId="Hyperlink">
    <w:name w:val="Hyperlink"/>
    <w:basedOn w:val="DefaultParagraphFont"/>
    <w:uiPriority w:val="99"/>
    <w:unhideWhenUsed/>
    <w:rsid w:val="005E4EEB"/>
    <w:rPr>
      <w:color w:val="0000FF" w:themeColor="hyperlink"/>
      <w:u w:val="single"/>
    </w:rPr>
  </w:style>
  <w:style w:type="character" w:styleId="UnresolvedMention">
    <w:name w:val="Unresolved Mention"/>
    <w:basedOn w:val="DefaultParagraphFont"/>
    <w:uiPriority w:val="99"/>
    <w:semiHidden/>
    <w:unhideWhenUsed/>
    <w:rsid w:val="005E4E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tpi.org.uk/media/1312/dementiatownplanning-practiceadvice2017.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placealliance.org.uk/research/national-housing-audit/" TargetMode="External"/><Relationship Id="rId4" Type="http://schemas.openxmlformats.org/officeDocument/2006/relationships/styles" Target="styles.xml"/><Relationship Id="rId9" Type="http://schemas.openxmlformats.org/officeDocument/2006/relationships/hyperlink" Target="https://www.eastsuffolk.gov.uk/assets/Planning/Waveney-Local-Plan/Background-Studies/Suffolk-County-Council-Forecast-Highway-Modelling.pdf"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374696B0839F47B5E34F84E38EB9A6" ma:contentTypeVersion="0" ma:contentTypeDescription="Create a new document." ma:contentTypeScope="" ma:versionID="1b1869424f8dc769a4af5ad2ce6b8ffe">
  <xsd:schema xmlns:xsd="http://www.w3.org/2001/XMLSchema" xmlns:xs="http://www.w3.org/2001/XMLSchema" xmlns:p="http://schemas.microsoft.com/office/2006/metadata/properties" targetNamespace="http://schemas.microsoft.com/office/2006/metadata/properties" ma:root="true" ma:fieldsID="140cbd1b8844145250b18191f2d93b4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4759BF-4552-4AC5-B71D-3A1D984F9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FA2B3E3-9BB2-4F5F-9D79-2B325686D418}">
  <ds:schemaRefs>
    <ds:schemaRef ds:uri="http://schemas.microsoft.com/sharepoint/v3/contenttype/forms"/>
  </ds:schemaRefs>
</ds:datastoreItem>
</file>

<file path=customXml/itemProps3.xml><?xml version="1.0" encoding="utf-8"?>
<ds:datastoreItem xmlns:ds="http://schemas.openxmlformats.org/officeDocument/2006/customXml" ds:itemID="{413BCEE1-8CA6-4BE6-9444-9C60E9BE195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1261</Words>
  <Characters>7189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Suffolk Coastal and Waveney District Councils</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Bishop</dc:creator>
  <cp:lastModifiedBy>Merrill, George</cp:lastModifiedBy>
  <cp:revision>2</cp:revision>
  <cp:lastPrinted>2018-10-29T13:05:00Z</cp:lastPrinted>
  <dcterms:created xsi:type="dcterms:W3CDTF">2020-03-25T15:55:00Z</dcterms:created>
  <dcterms:modified xsi:type="dcterms:W3CDTF">2020-03-25T15:55:00Z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0x01010030374696B0839F47B5E34F84E38EB9A6</vt:lpwstr>
  </property>
</Properties>
</file>